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56" w:rsidRDefault="005E7356" w:rsidP="002557F6">
      <w:pPr>
        <w:jc w:val="center"/>
      </w:pPr>
      <w:bookmarkStart w:id="0" w:name="_GoBack"/>
      <w:bookmarkEnd w:id="0"/>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DE1136">
      <w:pPr>
        <w:spacing w:line="480" w:lineRule="auto"/>
        <w:contextualSpacing/>
        <w:jc w:val="center"/>
      </w:pPr>
    </w:p>
    <w:p w:rsidR="002557F6" w:rsidRDefault="002557F6" w:rsidP="00DE1136">
      <w:pPr>
        <w:spacing w:line="480" w:lineRule="auto"/>
        <w:contextualSpacing/>
        <w:jc w:val="center"/>
      </w:pPr>
      <w:r>
        <w:t>Comprehensive Clinical Case Study</w:t>
      </w:r>
    </w:p>
    <w:p w:rsidR="002557F6" w:rsidRDefault="002557F6" w:rsidP="00DE1136">
      <w:pPr>
        <w:spacing w:line="480" w:lineRule="auto"/>
        <w:contextualSpacing/>
        <w:jc w:val="center"/>
      </w:pPr>
      <w:r>
        <w:t>Lindsey A. Moeller</w:t>
      </w:r>
    </w:p>
    <w:p w:rsidR="002557F6" w:rsidRDefault="002557F6" w:rsidP="00DE1136">
      <w:pPr>
        <w:spacing w:line="480" w:lineRule="auto"/>
        <w:contextualSpacing/>
        <w:jc w:val="center"/>
      </w:pPr>
      <w:r>
        <w:t>Wright State University- College of Nursing and Health</w:t>
      </w:r>
    </w:p>
    <w:p w:rsidR="002557F6" w:rsidRDefault="002557F6" w:rsidP="00DE1136">
      <w:pPr>
        <w:spacing w:line="480" w:lineRule="auto"/>
        <w:contextualSpacing/>
        <w:jc w:val="center"/>
      </w:pPr>
    </w:p>
    <w:p w:rsidR="002557F6" w:rsidRDefault="002557F6" w:rsidP="00DE1136">
      <w:pPr>
        <w:spacing w:line="480" w:lineRule="auto"/>
        <w:contextualSpacing/>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E73E05">
      <w:pPr>
        <w:jc w:val="right"/>
      </w:pPr>
    </w:p>
    <w:p w:rsidR="002557F6" w:rsidRDefault="002557F6" w:rsidP="002557F6">
      <w:pPr>
        <w:jc w:val="center"/>
      </w:pPr>
    </w:p>
    <w:p w:rsidR="002557F6" w:rsidRDefault="00E73E05" w:rsidP="00DE1136">
      <w:pPr>
        <w:spacing w:line="480" w:lineRule="auto"/>
        <w:contextualSpacing/>
        <w:jc w:val="center"/>
        <w:rPr>
          <w:b/>
        </w:rPr>
      </w:pPr>
      <w:r>
        <w:rPr>
          <w:b/>
        </w:rPr>
        <w:lastRenderedPageBreak/>
        <w:t>Comprehensive Clinical Case Study</w:t>
      </w:r>
    </w:p>
    <w:p w:rsidR="00E73E05" w:rsidRDefault="00E73E05" w:rsidP="00DE1136">
      <w:pPr>
        <w:spacing w:line="480" w:lineRule="auto"/>
        <w:contextualSpacing/>
        <w:jc w:val="center"/>
        <w:rPr>
          <w:b/>
        </w:rPr>
      </w:pPr>
      <w:r>
        <w:rPr>
          <w:b/>
        </w:rPr>
        <w:t>History and Physical</w:t>
      </w:r>
    </w:p>
    <w:p w:rsidR="00B86911" w:rsidRDefault="00CF088A" w:rsidP="00DE1136">
      <w:pPr>
        <w:spacing w:line="480" w:lineRule="auto"/>
        <w:contextualSpacing/>
        <w:rPr>
          <w:b/>
        </w:rPr>
      </w:pPr>
      <w:r>
        <w:rPr>
          <w:b/>
        </w:rPr>
        <w:t>DOB</w:t>
      </w:r>
      <w:r w:rsidR="00B86911">
        <w:rPr>
          <w:b/>
        </w:rPr>
        <w:t xml:space="preserve"> </w:t>
      </w:r>
    </w:p>
    <w:p w:rsidR="00DF61A7" w:rsidRPr="00DF61A7" w:rsidRDefault="00DF61A7" w:rsidP="00DE1136">
      <w:pPr>
        <w:spacing w:line="480" w:lineRule="auto"/>
        <w:contextualSpacing/>
      </w:pPr>
      <w:r>
        <w:rPr>
          <w:b/>
        </w:rPr>
        <w:tab/>
      </w:r>
      <w:r>
        <w:t>11/2/1959</w:t>
      </w:r>
    </w:p>
    <w:p w:rsidR="00B86911" w:rsidRDefault="00E73E05" w:rsidP="00DE1136">
      <w:pPr>
        <w:spacing w:line="480" w:lineRule="auto"/>
        <w:contextualSpacing/>
        <w:rPr>
          <w:b/>
        </w:rPr>
      </w:pPr>
      <w:r>
        <w:rPr>
          <w:b/>
        </w:rPr>
        <w:t>Source</w:t>
      </w:r>
    </w:p>
    <w:p w:rsidR="00DF61A7" w:rsidRPr="00DF61A7" w:rsidRDefault="00DF61A7" w:rsidP="00DE1136">
      <w:pPr>
        <w:spacing w:line="480" w:lineRule="auto"/>
        <w:contextualSpacing/>
      </w:pPr>
      <w:r>
        <w:rPr>
          <w:b/>
        </w:rPr>
        <w:tab/>
      </w:r>
      <w:r w:rsidR="00CE7ABC">
        <w:t>Patient</w:t>
      </w:r>
    </w:p>
    <w:p w:rsidR="00E73E05" w:rsidRDefault="00E73E05" w:rsidP="00DE1136">
      <w:pPr>
        <w:spacing w:line="480" w:lineRule="auto"/>
        <w:contextualSpacing/>
        <w:rPr>
          <w:b/>
        </w:rPr>
      </w:pPr>
      <w:r>
        <w:rPr>
          <w:b/>
        </w:rPr>
        <w:t>Chief Complaint</w:t>
      </w:r>
    </w:p>
    <w:p w:rsidR="00DF61A7" w:rsidRPr="00DF61A7" w:rsidRDefault="00DF61A7" w:rsidP="00DE1136">
      <w:pPr>
        <w:spacing w:line="480" w:lineRule="auto"/>
        <w:contextualSpacing/>
      </w:pPr>
      <w:r>
        <w:rPr>
          <w:b/>
        </w:rPr>
        <w:tab/>
      </w:r>
      <w:r>
        <w:t>“Shortness of breath, trouble walking, back pain”</w:t>
      </w:r>
    </w:p>
    <w:p w:rsidR="00E73E05" w:rsidRDefault="00E73E05" w:rsidP="00DE1136">
      <w:pPr>
        <w:spacing w:line="480" w:lineRule="auto"/>
        <w:contextualSpacing/>
        <w:rPr>
          <w:b/>
        </w:rPr>
      </w:pPr>
      <w:r>
        <w:rPr>
          <w:b/>
        </w:rPr>
        <w:t>History of Present Illness</w:t>
      </w:r>
    </w:p>
    <w:p w:rsidR="00DF61A7" w:rsidRPr="00DF61A7" w:rsidRDefault="00DF61A7" w:rsidP="00465F05">
      <w:pPr>
        <w:spacing w:line="480" w:lineRule="auto"/>
        <w:contextualSpacing/>
      </w:pPr>
      <w:r>
        <w:rPr>
          <w:b/>
        </w:rPr>
        <w:tab/>
      </w:r>
      <w:r>
        <w:t>Ms. Carter is a 53 year-old</w:t>
      </w:r>
      <w:r w:rsidR="007940E9">
        <w:t xml:space="preserve"> white</w:t>
      </w:r>
      <w:r>
        <w:t xml:space="preserve"> female</w:t>
      </w:r>
      <w:r w:rsidR="009136A6">
        <w:t xml:space="preserve"> who</w:t>
      </w:r>
      <w:r>
        <w:t xml:space="preserve"> presented to the emergency department</w:t>
      </w:r>
      <w:r w:rsidR="00465F05">
        <w:t xml:space="preserve"> (ED)</w:t>
      </w:r>
      <w:r w:rsidR="009B63A8">
        <w:t xml:space="preserve"> today</w:t>
      </w:r>
      <w:r>
        <w:t xml:space="preserve"> with reports of dyspnea, ataxia,</w:t>
      </w:r>
      <w:r w:rsidR="00545212">
        <w:t xml:space="preserve"> dysphagia</w:t>
      </w:r>
      <w:r w:rsidR="007940E9">
        <w:t>, back pain, and bi</w:t>
      </w:r>
      <w:r w:rsidR="009136A6">
        <w:t>lateral lower extremity weakness</w:t>
      </w:r>
      <w:r>
        <w:t xml:space="preserve"> that progressively worsened over the past week.</w:t>
      </w:r>
      <w:r w:rsidR="007940E9">
        <w:t xml:space="preserve">  The husband called the paramedics for an</w:t>
      </w:r>
      <w:r w:rsidR="00FA227D">
        <w:t xml:space="preserve"> increa</w:t>
      </w:r>
      <w:r w:rsidR="007940E9">
        <w:t>sed work of breathing and her inability to ambulate this morning.</w:t>
      </w:r>
      <w:r w:rsidR="00D06884">
        <w:t xml:space="preserve"> Per her husband, she was seen by her primary care physician (PCP) one week ago for an upper respiratory</w:t>
      </w:r>
      <w:r w:rsidR="009136A6">
        <w:t xml:space="preserve"> tract</w:t>
      </w:r>
      <w:r w:rsidR="00D06884">
        <w:t xml:space="preserve"> infection. Her PCP prescribed Afrin and Motrin for symptom management of nasal congestion and back pain, but received no relief. </w:t>
      </w:r>
      <w:r w:rsidR="00465F05">
        <w:t xml:space="preserve"> Upon arrival</w:t>
      </w:r>
      <w:r w:rsidR="009136A6">
        <w:t xml:space="preserve"> to the ED</w:t>
      </w:r>
      <w:r w:rsidR="00CE7ABC">
        <w:t xml:space="preserve"> </w:t>
      </w:r>
      <w:r w:rsidR="002760CD">
        <w:t xml:space="preserve">she was following </w:t>
      </w:r>
      <w:r w:rsidR="00212524">
        <w:t>commands, conversing, but</w:t>
      </w:r>
      <w:r w:rsidR="00CE7ABC">
        <w:t xml:space="preserve"> hypoxic </w:t>
      </w:r>
      <w:r w:rsidR="002760CD">
        <w:t>with</w:t>
      </w:r>
      <w:r w:rsidR="00465F05">
        <w:t xml:space="preserve"> </w:t>
      </w:r>
      <w:r w:rsidR="002760CD">
        <w:t>tachycardia</w:t>
      </w:r>
      <w:r w:rsidR="00465F05">
        <w:t>. She was placed on 100% non-rebreather</w:t>
      </w:r>
      <w:r w:rsidR="00E07602">
        <w:t xml:space="preserve"> (NRB)</w:t>
      </w:r>
      <w:r w:rsidR="009466B8">
        <w:t xml:space="preserve"> oxygen mask</w:t>
      </w:r>
      <w:r w:rsidR="00465F05">
        <w:t xml:space="preserve"> and transferred to the pulmonary medical intensive care unit (MICU)</w:t>
      </w:r>
      <w:r w:rsidR="007D1366">
        <w:t xml:space="preserve"> for further evaluation and treatment</w:t>
      </w:r>
      <w:r w:rsidR="00465F05">
        <w:t xml:space="preserve">. </w:t>
      </w:r>
    </w:p>
    <w:p w:rsidR="00BC6AE1" w:rsidRDefault="00E73E05" w:rsidP="00A12F1A">
      <w:pPr>
        <w:spacing w:line="480" w:lineRule="auto"/>
        <w:contextualSpacing/>
        <w:rPr>
          <w:b/>
        </w:rPr>
      </w:pPr>
      <w:r>
        <w:rPr>
          <w:b/>
        </w:rPr>
        <w:t>Medical History</w:t>
      </w:r>
    </w:p>
    <w:p w:rsidR="00BC6AE1" w:rsidRDefault="00BC6AE1" w:rsidP="00A12F1A">
      <w:pPr>
        <w:spacing w:line="480" w:lineRule="auto"/>
        <w:contextualSpacing/>
      </w:pPr>
      <w:r>
        <w:rPr>
          <w:b/>
        </w:rPr>
        <w:tab/>
      </w:r>
      <w:r w:rsidR="00102529">
        <w:t xml:space="preserve">Essential </w:t>
      </w:r>
      <w:r>
        <w:t>Hypertension</w:t>
      </w:r>
    </w:p>
    <w:p w:rsidR="00BC6AE1" w:rsidRDefault="00BC6AE1" w:rsidP="00A12F1A">
      <w:pPr>
        <w:spacing w:line="480" w:lineRule="auto"/>
        <w:contextualSpacing/>
      </w:pPr>
      <w:r>
        <w:tab/>
        <w:t>Upper respiratory</w:t>
      </w:r>
      <w:r w:rsidR="009136A6">
        <w:t xml:space="preserve"> tract</w:t>
      </w:r>
      <w:r>
        <w:t xml:space="preserve"> infection- one week ago</w:t>
      </w:r>
    </w:p>
    <w:p w:rsidR="00BC6AE1" w:rsidRDefault="00BC6AE1" w:rsidP="00A12F1A">
      <w:pPr>
        <w:spacing w:line="480" w:lineRule="auto"/>
        <w:contextualSpacing/>
      </w:pPr>
      <w:r>
        <w:tab/>
      </w:r>
      <w:r w:rsidR="00CF4B62">
        <w:t xml:space="preserve">Gastroesophageal reflux disease (GERD) </w:t>
      </w:r>
    </w:p>
    <w:p w:rsidR="004F08D1" w:rsidRDefault="000E46BE" w:rsidP="00A12F1A">
      <w:pPr>
        <w:spacing w:line="480" w:lineRule="auto"/>
        <w:contextualSpacing/>
        <w:rPr>
          <w:b/>
        </w:rPr>
      </w:pPr>
      <w:r>
        <w:lastRenderedPageBreak/>
        <w:tab/>
        <w:t xml:space="preserve">Hyperlipidemia </w:t>
      </w:r>
      <w:r w:rsidR="00B07B7A">
        <w:rPr>
          <w:b/>
        </w:rPr>
        <w:tab/>
      </w:r>
    </w:p>
    <w:p w:rsidR="00612883" w:rsidRPr="00612883" w:rsidRDefault="00E8187D" w:rsidP="00A12F1A">
      <w:pPr>
        <w:spacing w:line="480" w:lineRule="auto"/>
        <w:contextualSpacing/>
      </w:pPr>
      <w:r>
        <w:rPr>
          <w:b/>
        </w:rPr>
        <w:t xml:space="preserve">       </w:t>
      </w:r>
      <w:r w:rsidR="00612883">
        <w:rPr>
          <w:b/>
        </w:rPr>
        <w:tab/>
      </w:r>
      <w:r w:rsidR="00612883">
        <w:t>Depression- diagnosed in 2003</w:t>
      </w:r>
    </w:p>
    <w:p w:rsidR="00B07B7A" w:rsidRDefault="00E73E05" w:rsidP="00A12F1A">
      <w:pPr>
        <w:spacing w:line="480" w:lineRule="auto"/>
        <w:contextualSpacing/>
        <w:rPr>
          <w:b/>
        </w:rPr>
      </w:pPr>
      <w:r>
        <w:rPr>
          <w:b/>
        </w:rPr>
        <w:t>Surgical History</w:t>
      </w:r>
    </w:p>
    <w:p w:rsidR="000E46BE" w:rsidRDefault="000E46BE" w:rsidP="00A12F1A">
      <w:pPr>
        <w:spacing w:line="480" w:lineRule="auto"/>
        <w:contextualSpacing/>
      </w:pPr>
      <w:r>
        <w:rPr>
          <w:b/>
        </w:rPr>
        <w:tab/>
      </w:r>
      <w:r w:rsidR="00F532A5">
        <w:t>Colonoscopy- 1998</w:t>
      </w:r>
      <w:r>
        <w:t xml:space="preserve"> with benign polyp removal</w:t>
      </w:r>
    </w:p>
    <w:p w:rsidR="00535973" w:rsidRPr="000E46BE" w:rsidRDefault="000E46BE" w:rsidP="00A12F1A">
      <w:pPr>
        <w:spacing w:line="480" w:lineRule="auto"/>
        <w:contextualSpacing/>
      </w:pPr>
      <w:r>
        <w:tab/>
        <w:t>P</w:t>
      </w:r>
      <w:r w:rsidR="00535973">
        <w:t>ap Smear- July 2013- normal</w:t>
      </w:r>
    </w:p>
    <w:p w:rsidR="00E73E05" w:rsidRDefault="00E73E05" w:rsidP="00DE1136">
      <w:pPr>
        <w:spacing w:line="480" w:lineRule="auto"/>
        <w:contextualSpacing/>
        <w:rPr>
          <w:b/>
        </w:rPr>
      </w:pPr>
      <w:r>
        <w:rPr>
          <w:b/>
        </w:rPr>
        <w:t>Family History</w:t>
      </w:r>
    </w:p>
    <w:p w:rsidR="00535973" w:rsidRDefault="00535973" w:rsidP="00DE1136">
      <w:pPr>
        <w:spacing w:line="480" w:lineRule="auto"/>
        <w:contextualSpacing/>
      </w:pPr>
      <w:r>
        <w:rPr>
          <w:b/>
        </w:rPr>
        <w:tab/>
      </w:r>
      <w:r>
        <w:t>Mother-living, age 81 colon cancer</w:t>
      </w:r>
    </w:p>
    <w:p w:rsidR="00535973" w:rsidRDefault="00535973" w:rsidP="00DE1136">
      <w:pPr>
        <w:spacing w:line="480" w:lineRule="auto"/>
        <w:contextualSpacing/>
      </w:pPr>
      <w:r>
        <w:tab/>
        <w:t>Father-deceased, age 72, myocardial infarction, hypertension</w:t>
      </w:r>
    </w:p>
    <w:p w:rsidR="00535973" w:rsidRDefault="00535973" w:rsidP="00DE1136">
      <w:pPr>
        <w:spacing w:line="480" w:lineRule="auto"/>
        <w:contextualSpacing/>
      </w:pPr>
      <w:r>
        <w:tab/>
        <w:t>Sister-living, age 55, hypertension</w:t>
      </w:r>
    </w:p>
    <w:p w:rsidR="00535973" w:rsidRDefault="00535973" w:rsidP="00DE1136">
      <w:pPr>
        <w:spacing w:line="480" w:lineRule="auto"/>
        <w:contextualSpacing/>
      </w:pPr>
      <w:r>
        <w:tab/>
        <w:t xml:space="preserve">Sister-living, age 58, colon cancer, hypertension </w:t>
      </w:r>
    </w:p>
    <w:p w:rsidR="00535973" w:rsidRPr="00535973" w:rsidRDefault="00535973" w:rsidP="00DE1136">
      <w:pPr>
        <w:spacing w:line="480" w:lineRule="auto"/>
        <w:contextualSpacing/>
      </w:pPr>
      <w:r>
        <w:tab/>
        <w:t>Brother-deceased, age 24, motor vehicle crash</w:t>
      </w:r>
    </w:p>
    <w:p w:rsidR="00E71E19" w:rsidRDefault="00E73E05" w:rsidP="00A12F1A">
      <w:pPr>
        <w:spacing w:line="480" w:lineRule="auto"/>
        <w:contextualSpacing/>
        <w:rPr>
          <w:b/>
        </w:rPr>
      </w:pPr>
      <w:r>
        <w:rPr>
          <w:b/>
        </w:rPr>
        <w:t>Social History</w:t>
      </w:r>
    </w:p>
    <w:p w:rsidR="00535973" w:rsidRPr="001D74FD" w:rsidRDefault="00535973" w:rsidP="00A12F1A">
      <w:pPr>
        <w:spacing w:line="480" w:lineRule="auto"/>
        <w:contextualSpacing/>
      </w:pPr>
      <w:r>
        <w:rPr>
          <w:b/>
        </w:rPr>
        <w:tab/>
      </w:r>
      <w:r w:rsidR="001D74FD">
        <w:t xml:space="preserve">Ms. Carter is currently a high school algebra teacher and has been in her position for 18 years. </w:t>
      </w:r>
      <w:r w:rsidR="00057B4C">
        <w:t xml:space="preserve">She has recently missed the last five days of school due to her illness. </w:t>
      </w:r>
      <w:r w:rsidR="001D74FD">
        <w:t xml:space="preserve">She is an active member of the local Catholic Church and enjoys teaching adolescent bible study. At baseline, she walks three miles per day with her husband for exercise. </w:t>
      </w:r>
      <w:r w:rsidR="00545212">
        <w:t>She has been unable to exerci</w:t>
      </w:r>
      <w:r w:rsidR="00FE09EA">
        <w:t>se this week due to her</w:t>
      </w:r>
      <w:r w:rsidR="009136A6">
        <w:t xml:space="preserve"> weakness and</w:t>
      </w:r>
      <w:r w:rsidR="00FE09EA">
        <w:t xml:space="preserve"> fatigue</w:t>
      </w:r>
      <w:r w:rsidR="00545212">
        <w:t xml:space="preserve">. </w:t>
      </w:r>
      <w:r w:rsidR="001D74FD">
        <w:t>Her and her husband have no children and live in two-story home that they o</w:t>
      </w:r>
      <w:r w:rsidR="009136A6">
        <w:t>wn. She is a current cigarette smoker,</w:t>
      </w:r>
      <w:r w:rsidR="00D55E00">
        <w:t xml:space="preserve"> one pack </w:t>
      </w:r>
      <w:r w:rsidR="009136A6">
        <w:t>year</w:t>
      </w:r>
      <w:r w:rsidR="00D55E00">
        <w:t xml:space="preserve">. She denies use of </w:t>
      </w:r>
      <w:r w:rsidR="001D74FD">
        <w:t xml:space="preserve">any illicit drugs. She drinks one glass of wine daily with dinner. </w:t>
      </w:r>
    </w:p>
    <w:p w:rsidR="00126E3A" w:rsidRDefault="00E73E05" w:rsidP="00DE1136">
      <w:pPr>
        <w:spacing w:line="480" w:lineRule="auto"/>
        <w:contextualSpacing/>
        <w:rPr>
          <w:b/>
        </w:rPr>
      </w:pPr>
      <w:r>
        <w:rPr>
          <w:b/>
        </w:rPr>
        <w:t>Allergies</w:t>
      </w:r>
    </w:p>
    <w:p w:rsidR="00EE4396" w:rsidRDefault="00EE4396" w:rsidP="00DE1136">
      <w:pPr>
        <w:spacing w:line="480" w:lineRule="auto"/>
        <w:contextualSpacing/>
      </w:pPr>
      <w:r>
        <w:rPr>
          <w:b/>
        </w:rPr>
        <w:tab/>
      </w:r>
      <w:r>
        <w:t>Peanuts</w:t>
      </w:r>
    </w:p>
    <w:p w:rsidR="00EE4396" w:rsidRPr="00EE4396" w:rsidRDefault="00EE4396" w:rsidP="00DE1136">
      <w:pPr>
        <w:spacing w:line="480" w:lineRule="auto"/>
        <w:contextualSpacing/>
      </w:pPr>
      <w:r>
        <w:tab/>
        <w:t>Penicillin</w:t>
      </w:r>
    </w:p>
    <w:p w:rsidR="00051534" w:rsidRPr="00EE4396" w:rsidRDefault="00EE4396" w:rsidP="00DE1136">
      <w:pPr>
        <w:spacing w:line="480" w:lineRule="auto"/>
        <w:contextualSpacing/>
        <w:rPr>
          <w:b/>
        </w:rPr>
      </w:pPr>
      <w:r>
        <w:rPr>
          <w:b/>
        </w:rPr>
        <w:t>Immunizations</w:t>
      </w:r>
    </w:p>
    <w:p w:rsidR="00051534" w:rsidRDefault="00EE4396" w:rsidP="00DE1136">
      <w:pPr>
        <w:spacing w:line="480" w:lineRule="auto"/>
        <w:contextualSpacing/>
      </w:pPr>
      <w:r>
        <w:lastRenderedPageBreak/>
        <w:tab/>
        <w:t>Influenza vaccine- September 23, 2013 (has had annually with no adverse reactions)</w:t>
      </w:r>
    </w:p>
    <w:p w:rsidR="00C65B69" w:rsidRDefault="00EE4396" w:rsidP="00DE1136">
      <w:pPr>
        <w:spacing w:line="480" w:lineRule="auto"/>
        <w:contextualSpacing/>
      </w:pPr>
      <w:r>
        <w:tab/>
        <w:t>Pneumococcal vaccine- July/20</w:t>
      </w:r>
      <w:r w:rsidR="00760B07">
        <w:t>10</w:t>
      </w:r>
    </w:p>
    <w:p w:rsidR="00051534" w:rsidRPr="00051534" w:rsidRDefault="00C65B69" w:rsidP="00DE1136">
      <w:pPr>
        <w:spacing w:line="480" w:lineRule="auto"/>
        <w:contextualSpacing/>
      </w:pPr>
      <w:r>
        <w:tab/>
        <w:t>Tetanus/diphtheria vacc</w:t>
      </w:r>
      <w:r w:rsidR="00EE4396">
        <w:t>ine- August/2008</w:t>
      </w:r>
      <w:r w:rsidR="00051534">
        <w:t xml:space="preserve"> </w:t>
      </w:r>
    </w:p>
    <w:p w:rsidR="00E73E05" w:rsidRDefault="00E73E05" w:rsidP="00DE1136">
      <w:pPr>
        <w:spacing w:line="480" w:lineRule="auto"/>
        <w:contextualSpacing/>
        <w:rPr>
          <w:b/>
        </w:rPr>
      </w:pPr>
      <w:r>
        <w:rPr>
          <w:b/>
        </w:rPr>
        <w:t>Medications</w:t>
      </w:r>
    </w:p>
    <w:p w:rsidR="00844D96" w:rsidRDefault="002A434F" w:rsidP="00DE1136">
      <w:pPr>
        <w:spacing w:line="480" w:lineRule="auto"/>
        <w:contextualSpacing/>
      </w:pPr>
      <w:r>
        <w:tab/>
      </w:r>
      <w:r w:rsidR="00164755">
        <w:t>Protonix 40 milligrams (mg)</w:t>
      </w:r>
      <w:r w:rsidR="00336D42">
        <w:t>, one tablet</w:t>
      </w:r>
      <w:r w:rsidR="00164755">
        <w:t xml:space="preserve"> by mouth (PO) daily before breakfast</w:t>
      </w:r>
    </w:p>
    <w:p w:rsidR="00164755" w:rsidRDefault="00164755" w:rsidP="00DE1136">
      <w:pPr>
        <w:spacing w:line="480" w:lineRule="auto"/>
        <w:contextualSpacing/>
      </w:pPr>
      <w:r>
        <w:tab/>
        <w:t>Lisinopril 20 mg</w:t>
      </w:r>
      <w:r w:rsidR="00336D42">
        <w:t>, one tablet</w:t>
      </w:r>
      <w:r>
        <w:t xml:space="preserve"> PO daily</w:t>
      </w:r>
    </w:p>
    <w:p w:rsidR="00164755" w:rsidRDefault="00164755" w:rsidP="00DE1136">
      <w:pPr>
        <w:spacing w:line="480" w:lineRule="auto"/>
        <w:contextualSpacing/>
      </w:pPr>
      <w:r>
        <w:tab/>
        <w:t>Lipitor 20 mg</w:t>
      </w:r>
      <w:r w:rsidR="00336D42">
        <w:t>, one tablet</w:t>
      </w:r>
      <w:r>
        <w:t xml:space="preserve"> PO daily at dinner</w:t>
      </w:r>
      <w:r w:rsidR="00336D42">
        <w:t xml:space="preserve"> </w:t>
      </w:r>
    </w:p>
    <w:p w:rsidR="00336D42" w:rsidRDefault="00336D42" w:rsidP="00DE1136">
      <w:pPr>
        <w:spacing w:line="480" w:lineRule="auto"/>
        <w:contextualSpacing/>
      </w:pPr>
      <w:r>
        <w:tab/>
        <w:t>Zoloft 25 mg, one tablet PO daily</w:t>
      </w:r>
    </w:p>
    <w:p w:rsidR="00164755" w:rsidRDefault="00164755" w:rsidP="00DE1136">
      <w:pPr>
        <w:spacing w:line="480" w:lineRule="auto"/>
        <w:contextualSpacing/>
      </w:pPr>
      <w:r>
        <w:tab/>
        <w:t>Afrin nasal spray one spray in each nostril every 12 hours</w:t>
      </w:r>
      <w:r w:rsidR="00336D42">
        <w:t xml:space="preserve"> (started one week ago)</w:t>
      </w:r>
    </w:p>
    <w:p w:rsidR="00164755" w:rsidRPr="00126E3A" w:rsidRDefault="00164755" w:rsidP="00DE1136">
      <w:pPr>
        <w:spacing w:line="480" w:lineRule="auto"/>
        <w:contextualSpacing/>
      </w:pPr>
      <w:r>
        <w:tab/>
        <w:t>Motrin 600 mg PO every six hours for pain</w:t>
      </w:r>
      <w:r w:rsidR="00336D42">
        <w:t xml:space="preserve"> (started one week ago)</w:t>
      </w:r>
    </w:p>
    <w:p w:rsidR="00DE1136" w:rsidRPr="006E6DC6" w:rsidRDefault="00E73E05" w:rsidP="00DE1136">
      <w:pPr>
        <w:spacing w:line="480" w:lineRule="auto"/>
        <w:contextualSpacing/>
        <w:rPr>
          <w:b/>
        </w:rPr>
      </w:pPr>
      <w:r>
        <w:rPr>
          <w:b/>
        </w:rPr>
        <w:t>Review of Systems</w:t>
      </w:r>
    </w:p>
    <w:p w:rsidR="00F708E5" w:rsidRDefault="00DE1136" w:rsidP="00B15FA7">
      <w:pPr>
        <w:spacing w:line="480" w:lineRule="auto"/>
        <w:ind w:left="1440" w:hanging="1440"/>
        <w:contextualSpacing/>
      </w:pPr>
      <w:r>
        <w:t>General:</w:t>
      </w:r>
      <w:r w:rsidR="00DD0ABE">
        <w:t xml:space="preserve"> </w:t>
      </w:r>
      <w:r w:rsidR="00212524">
        <w:tab/>
        <w:t>Reports feeling</w:t>
      </w:r>
      <w:r w:rsidR="00276305">
        <w:t xml:space="preserve"> overall weak</w:t>
      </w:r>
      <w:r w:rsidR="00212524">
        <w:t xml:space="preserve"> that progressively worsened over the last week. She reports feeling fatigue</w:t>
      </w:r>
      <w:r w:rsidR="00276305">
        <w:t>d</w:t>
      </w:r>
      <w:r w:rsidR="00212524">
        <w:t xml:space="preserve">, but this morning she could not move either of her legs to get out of bed. She reports having a constant burning pain in her midline lower back that started </w:t>
      </w:r>
      <w:r w:rsidR="00FE09EA">
        <w:t>one week</w:t>
      </w:r>
      <w:r w:rsidR="00212524">
        <w:t xml:space="preserve"> ago. The pain does not ra</w:t>
      </w:r>
      <w:r w:rsidR="00FB1A5F">
        <w:t>diate, but worsens with activity</w:t>
      </w:r>
      <w:r w:rsidR="00212524">
        <w:t>. She rates the pain a six out of ten on the pain scale zero to ten,</w:t>
      </w:r>
      <w:r w:rsidR="00FB1A5F">
        <w:t xml:space="preserve"> with ten being most severe</w:t>
      </w:r>
      <w:r w:rsidR="00212524">
        <w:t xml:space="preserve">. The Motrin does not </w:t>
      </w:r>
      <w:r w:rsidR="00276305">
        <w:t xml:space="preserve">decrease her pain level despite </w:t>
      </w:r>
      <w:r w:rsidR="00212524">
        <w:t xml:space="preserve">taking around the clock for one week. </w:t>
      </w:r>
    </w:p>
    <w:p w:rsidR="00DE1136" w:rsidRDefault="00DE1136" w:rsidP="00F708E5">
      <w:pPr>
        <w:spacing w:line="480" w:lineRule="auto"/>
        <w:ind w:left="1440" w:hanging="1440"/>
        <w:contextualSpacing/>
      </w:pPr>
      <w:r>
        <w:t>Neurological:</w:t>
      </w:r>
      <w:r w:rsidR="00F708E5">
        <w:tab/>
        <w:t>Denies any head</w:t>
      </w:r>
      <w:r w:rsidR="007E4456">
        <w:t xml:space="preserve">ache, </w:t>
      </w:r>
      <w:r w:rsidR="00F708E5">
        <w:t>confusion,</w:t>
      </w:r>
      <w:r w:rsidR="00212524">
        <w:t xml:space="preserve"> or loss of consciousness. She reports</w:t>
      </w:r>
      <w:r w:rsidR="00FE09EA">
        <w:t xml:space="preserve"> inab</w:t>
      </w:r>
      <w:r w:rsidR="00276305">
        <w:t>ility to move her facial muscle weakness that started today</w:t>
      </w:r>
      <w:r w:rsidR="007E4456">
        <w:t>. She reports feeling overall weak</w:t>
      </w:r>
      <w:r w:rsidR="00FE09EA">
        <w:t>, but paralysis</w:t>
      </w:r>
      <w:r w:rsidR="00212524">
        <w:t xml:space="preserve"> in bilateral lower extremities</w:t>
      </w:r>
      <w:r w:rsidR="00FE09EA">
        <w:t xml:space="preserve"> with</w:t>
      </w:r>
      <w:r w:rsidR="00276305">
        <w:t xml:space="preserve"> the onset of </w:t>
      </w:r>
      <w:r w:rsidR="00FE09EA">
        <w:t>this morning</w:t>
      </w:r>
      <w:r w:rsidR="00212524">
        <w:t>.</w:t>
      </w:r>
      <w:r w:rsidR="007E4456">
        <w:t xml:space="preserve"> She reports</w:t>
      </w:r>
      <w:r w:rsidR="00212524">
        <w:t xml:space="preserve"> parathesias of her left face</w:t>
      </w:r>
      <w:r w:rsidR="00FB1A5F">
        <w:t xml:space="preserve"> and bilateral feet</w:t>
      </w:r>
      <w:r w:rsidR="00FE09EA">
        <w:t xml:space="preserve"> that began today</w:t>
      </w:r>
      <w:r w:rsidR="00FB1A5F">
        <w:t>.</w:t>
      </w:r>
      <w:r w:rsidR="00212524">
        <w:t xml:space="preserve"> </w:t>
      </w:r>
      <w:r w:rsidR="00FB1A5F">
        <w:t xml:space="preserve">She </w:t>
      </w:r>
      <w:r w:rsidR="00FB1A5F">
        <w:lastRenderedPageBreak/>
        <w:t>d</w:t>
      </w:r>
      <w:r w:rsidR="00F708E5">
        <w:t>enies histor</w:t>
      </w:r>
      <w:r w:rsidR="00FB1A5F">
        <w:t xml:space="preserve">y of seizures </w:t>
      </w:r>
      <w:r w:rsidR="00F708E5">
        <w:t>or syncope</w:t>
      </w:r>
      <w:r w:rsidR="00051534">
        <w:t>.</w:t>
      </w:r>
      <w:r w:rsidR="004A543A">
        <w:t xml:space="preserve"> </w:t>
      </w:r>
      <w:r w:rsidR="004305D0">
        <w:t>Denies any recent exposure to toxic chemicals or metals.</w:t>
      </w:r>
    </w:p>
    <w:p w:rsidR="00DE1136" w:rsidRDefault="00DE1136" w:rsidP="00C65B69">
      <w:pPr>
        <w:spacing w:line="480" w:lineRule="auto"/>
        <w:ind w:left="1440" w:hanging="1440"/>
        <w:contextualSpacing/>
      </w:pPr>
      <w:r>
        <w:t>HEENT:</w:t>
      </w:r>
      <w:r w:rsidR="00051534">
        <w:tab/>
      </w:r>
      <w:r w:rsidR="00FB1A5F">
        <w:t>She denies any</w:t>
      </w:r>
      <w:r w:rsidR="007E4456">
        <w:t xml:space="preserve"> difficulty hearing</w:t>
      </w:r>
      <w:r w:rsidR="00FB1A5F">
        <w:t xml:space="preserve"> or recent sore throat.</w:t>
      </w:r>
      <w:r w:rsidR="007E4456">
        <w:t xml:space="preserve"> She complains of double vision that began three days ago.</w:t>
      </w:r>
      <w:r w:rsidR="00FB1A5F">
        <w:t xml:space="preserve"> She reports dysphagia that started one week ago and has progressively worsened to the point she was unable to take her medications yesterday. She d</w:t>
      </w:r>
      <w:r w:rsidR="00051534">
        <w:t>enies nose bleeds</w:t>
      </w:r>
      <w:r w:rsidR="00FB1A5F">
        <w:t xml:space="preserve">, mouth pain, oral lesions, neck pain or stiffness. </w:t>
      </w:r>
      <w:r w:rsidR="0079139A">
        <w:t>Reports having nasal congestion for one and a half weeks.</w:t>
      </w:r>
    </w:p>
    <w:p w:rsidR="00DE1136" w:rsidRDefault="00DE1136" w:rsidP="0040373F">
      <w:pPr>
        <w:spacing w:line="480" w:lineRule="auto"/>
        <w:ind w:left="1440" w:hanging="1440"/>
        <w:contextualSpacing/>
      </w:pPr>
      <w:r>
        <w:t>Chest:</w:t>
      </w:r>
      <w:r w:rsidR="0024519C">
        <w:tab/>
      </w:r>
      <w:r w:rsidR="00FB1A5F">
        <w:t>Reports shortness of breath with activity that began one week ago.</w:t>
      </w:r>
      <w:r w:rsidR="0079139A">
        <w:t xml:space="preserve"> Today was the first day she experienced dyspnea at rest</w:t>
      </w:r>
      <w:r w:rsidR="00FB1A5F">
        <w:t>.</w:t>
      </w:r>
      <w:r w:rsidR="00FE09EA">
        <w:t xml:space="preserve"> Reports she feels she could not breathe this morning.</w:t>
      </w:r>
      <w:r w:rsidR="0079139A">
        <w:t xml:space="preserve"> She has a non-productive cough for one and a half weeks.</w:t>
      </w:r>
      <w:r w:rsidR="00FB1A5F">
        <w:t xml:space="preserve"> She denies</w:t>
      </w:r>
      <w:r w:rsidR="0079139A">
        <w:t xml:space="preserve"> any recent </w:t>
      </w:r>
      <w:r w:rsidR="00FB1A5F">
        <w:t xml:space="preserve">fever, </w:t>
      </w:r>
      <w:r w:rsidR="0079139A">
        <w:t xml:space="preserve">or chills. </w:t>
      </w:r>
      <w:r w:rsidR="00351488">
        <w:t xml:space="preserve"> </w:t>
      </w:r>
      <w:r w:rsidR="003A11E1">
        <w:t xml:space="preserve">  </w:t>
      </w:r>
    </w:p>
    <w:p w:rsidR="00DC03F6" w:rsidRDefault="00DE1136" w:rsidP="00FF1C16">
      <w:pPr>
        <w:spacing w:line="480" w:lineRule="auto"/>
        <w:ind w:left="1440" w:hanging="1440"/>
        <w:contextualSpacing/>
      </w:pPr>
      <w:r>
        <w:t>CV:</w:t>
      </w:r>
      <w:r w:rsidR="00FF1C16">
        <w:tab/>
      </w:r>
      <w:r w:rsidR="0040373F">
        <w:t>Denies history of myocardial infar</w:t>
      </w:r>
      <w:r w:rsidR="00FF1C16">
        <w:t>ction or angina. Reports blood pressure</w:t>
      </w:r>
      <w:r w:rsidR="0053266E">
        <w:t xml:space="preserve"> and cholesterol</w:t>
      </w:r>
      <w:r w:rsidR="00FF1C16">
        <w:t xml:space="preserve"> </w:t>
      </w:r>
      <w:r w:rsidR="0053266E">
        <w:t>are</w:t>
      </w:r>
      <w:r w:rsidR="00FF1C16">
        <w:t xml:space="preserve"> well controlled on current regimen.</w:t>
      </w:r>
      <w:r w:rsidR="0053266E">
        <w:t xml:space="preserve"> Noticed swelling in bilateral feet this week. </w:t>
      </w:r>
      <w:r w:rsidR="00FF1C16">
        <w:t xml:space="preserve">  </w:t>
      </w:r>
    </w:p>
    <w:p w:rsidR="00DE1136" w:rsidRDefault="006E6DC6" w:rsidP="00311FEC">
      <w:pPr>
        <w:spacing w:line="480" w:lineRule="auto"/>
        <w:ind w:left="1440" w:hanging="1440"/>
        <w:contextualSpacing/>
      </w:pPr>
      <w:r>
        <w:t>Abdomen</w:t>
      </w:r>
      <w:r w:rsidR="00DC03F6">
        <w:t>:</w:t>
      </w:r>
      <w:r w:rsidR="0040373F">
        <w:tab/>
        <w:t>Denies any nausea, vomiting or recent weight lo</w:t>
      </w:r>
      <w:r w:rsidR="00311FEC">
        <w:t>ss. Reports</w:t>
      </w:r>
      <w:r w:rsidR="00893E9A">
        <w:t xml:space="preserve"> loss of appetite this week. </w:t>
      </w:r>
      <w:r w:rsidR="00311FEC">
        <w:t>Denies diarrhea, constipation,</w:t>
      </w:r>
      <w:r w:rsidR="005D5576">
        <w:t xml:space="preserve"> incontinence of stool</w:t>
      </w:r>
      <w:r w:rsidR="00311FEC">
        <w:t xml:space="preserve"> or abdominal pain.   </w:t>
      </w:r>
      <w:r w:rsidR="0040373F">
        <w:t xml:space="preserve"> </w:t>
      </w:r>
    </w:p>
    <w:p w:rsidR="00DE1136" w:rsidRDefault="00DE1136" w:rsidP="00F8314A">
      <w:pPr>
        <w:spacing w:line="480" w:lineRule="auto"/>
        <w:ind w:left="1440" w:hanging="1440"/>
        <w:contextualSpacing/>
      </w:pPr>
      <w:r>
        <w:t>GU:</w:t>
      </w:r>
      <w:r w:rsidR="00DC03F6">
        <w:tab/>
      </w:r>
      <w:r w:rsidR="005D5576">
        <w:t>Denies dysuria</w:t>
      </w:r>
      <w:r w:rsidR="00F8314A">
        <w:t>,</w:t>
      </w:r>
      <w:r w:rsidR="00A937E4">
        <w:t xml:space="preserve"> hematuria,</w:t>
      </w:r>
      <w:r w:rsidR="005D5576">
        <w:t xml:space="preserve"> urinary urgency, incontinence or frequency.</w:t>
      </w:r>
    </w:p>
    <w:p w:rsidR="006E6DC6" w:rsidRDefault="006E6DC6" w:rsidP="00DE1136">
      <w:pPr>
        <w:spacing w:line="480" w:lineRule="auto"/>
        <w:contextualSpacing/>
      </w:pPr>
      <w:r>
        <w:t>Skin:</w:t>
      </w:r>
      <w:r w:rsidR="00DD0ABE">
        <w:tab/>
      </w:r>
      <w:r w:rsidR="00DD0ABE">
        <w:tab/>
        <w:t>Denies any rashes, lesions</w:t>
      </w:r>
      <w:r w:rsidR="00DC03F6">
        <w:t>,</w:t>
      </w:r>
      <w:r w:rsidR="00A937E4">
        <w:t xml:space="preserve"> wounds</w:t>
      </w:r>
      <w:r w:rsidR="00DC03F6">
        <w:t xml:space="preserve"> or abnormalities with skin.</w:t>
      </w:r>
      <w:r w:rsidR="00C56C55">
        <w:t xml:space="preserve"> Denies any recent </w:t>
      </w:r>
    </w:p>
    <w:p w:rsidR="00C56C55" w:rsidRDefault="00C56C55" w:rsidP="00C56C55">
      <w:pPr>
        <w:spacing w:line="480" w:lineRule="auto"/>
        <w:ind w:left="1440"/>
        <w:contextualSpacing/>
      </w:pPr>
      <w:r>
        <w:t>insect bites or known exposure to grossly infected</w:t>
      </w:r>
      <w:r w:rsidR="001D46F2">
        <w:t xml:space="preserve"> animals. Denies spending </w:t>
      </w:r>
      <w:r>
        <w:t xml:space="preserve">time outdoors or </w:t>
      </w:r>
      <w:r w:rsidR="001D46F2">
        <w:t xml:space="preserve">any recent </w:t>
      </w:r>
      <w:r>
        <w:t xml:space="preserve">contact with pesticides. </w:t>
      </w:r>
    </w:p>
    <w:p w:rsidR="00DE1136" w:rsidRDefault="00DE1136" w:rsidP="00DD0ABE">
      <w:pPr>
        <w:spacing w:line="480" w:lineRule="auto"/>
        <w:ind w:left="1440" w:hanging="1440"/>
        <w:contextualSpacing/>
      </w:pPr>
      <w:r>
        <w:t>M/S:</w:t>
      </w:r>
      <w:r w:rsidR="00893E9A">
        <w:tab/>
      </w:r>
      <w:r w:rsidR="00204A4E">
        <w:t>Reports numbness in bilateral feet</w:t>
      </w:r>
      <w:r w:rsidR="00A937E4">
        <w:t>.</w:t>
      </w:r>
      <w:r w:rsidR="00B035C2">
        <w:t xml:space="preserve"> </w:t>
      </w:r>
      <w:r w:rsidR="00893E9A">
        <w:t>Reports unable to am</w:t>
      </w:r>
      <w:r w:rsidR="00204A4E">
        <w:t>bulate staring today</w:t>
      </w:r>
      <w:r w:rsidR="00FE09EA">
        <w:t xml:space="preserve">, but has felt weakness in general </w:t>
      </w:r>
      <w:r w:rsidR="00204A4E">
        <w:t>over the past week. She noticed an inability to move her toes a few days ago followed by her bilateral feet and today</w:t>
      </w:r>
      <w:r w:rsidR="004E0188">
        <w:t xml:space="preserve"> she reports no </w:t>
      </w:r>
      <w:r w:rsidR="004E0188">
        <w:lastRenderedPageBreak/>
        <w:t>movement of bilateral</w:t>
      </w:r>
      <w:r w:rsidR="00204A4E">
        <w:t xml:space="preserve"> legs.</w:t>
      </w:r>
      <w:r w:rsidR="004A543A">
        <w:t xml:space="preserve"> </w:t>
      </w:r>
      <w:r w:rsidR="00673B83">
        <w:t xml:space="preserve">She reports bilateral upper extremity weakness that </w:t>
      </w:r>
      <w:r w:rsidR="00ED1F1C">
        <w:t>has progressively worsened</w:t>
      </w:r>
      <w:r w:rsidR="00673B83">
        <w:t xml:space="preserve">. </w:t>
      </w:r>
      <w:r w:rsidR="004A543A">
        <w:t xml:space="preserve">She reports multiple falls in the </w:t>
      </w:r>
      <w:r w:rsidR="00920B43">
        <w:t>last week, but none prior to that.</w:t>
      </w:r>
    </w:p>
    <w:p w:rsidR="00DE1136" w:rsidRPr="00DE1136" w:rsidRDefault="00DE1136" w:rsidP="00DD0ABE">
      <w:pPr>
        <w:spacing w:line="480" w:lineRule="auto"/>
        <w:ind w:left="1440" w:hanging="1440"/>
        <w:contextualSpacing/>
      </w:pPr>
      <w:r>
        <w:t>Psychosocial:</w:t>
      </w:r>
      <w:r w:rsidR="0083271F">
        <w:tab/>
        <w:t>She denies feelings of depression</w:t>
      </w:r>
      <w:r w:rsidR="00925C7E">
        <w:t xml:space="preserve"> and reports her depression is controlled with her current dose of Zoloft</w:t>
      </w:r>
      <w:r w:rsidR="00DD0ABE">
        <w:t xml:space="preserve">. Denies feeling threatened or unsafe in her current living </w:t>
      </w:r>
      <w:r w:rsidR="00170677">
        <w:t>environment or relationships. She denies any</w:t>
      </w:r>
      <w:r w:rsidR="00DD0ABE">
        <w:t xml:space="preserve"> suicidal ideation.</w:t>
      </w:r>
    </w:p>
    <w:p w:rsidR="00E73E05" w:rsidRDefault="00E73E05" w:rsidP="00DE1136">
      <w:pPr>
        <w:spacing w:line="480" w:lineRule="auto"/>
        <w:contextualSpacing/>
        <w:rPr>
          <w:b/>
        </w:rPr>
      </w:pPr>
      <w:r>
        <w:rPr>
          <w:b/>
        </w:rPr>
        <w:t>Physical Exam</w:t>
      </w:r>
    </w:p>
    <w:p w:rsidR="006E6DC6" w:rsidRPr="006E6DC6" w:rsidRDefault="006E6DC6" w:rsidP="00DE1136">
      <w:pPr>
        <w:spacing w:line="480" w:lineRule="auto"/>
        <w:contextualSpacing/>
      </w:pPr>
      <w:r>
        <w:t>Vital Signs:</w:t>
      </w:r>
      <w:r w:rsidR="00AD37E5">
        <w:tab/>
      </w:r>
      <w:r w:rsidR="00C2508B">
        <w:t xml:space="preserve"> </w:t>
      </w:r>
      <w:r w:rsidR="00E07602">
        <w:t>T 98.3 P 122</w:t>
      </w:r>
      <w:r w:rsidR="00271AAB">
        <w:t xml:space="preserve"> R 26</w:t>
      </w:r>
      <w:r w:rsidR="001C26D4">
        <w:t>,</w:t>
      </w:r>
      <w:r w:rsidR="00E07602">
        <w:t xml:space="preserve"> BP 77/4</w:t>
      </w:r>
      <w:r w:rsidR="006272B9">
        <w:t>0</w:t>
      </w:r>
      <w:r w:rsidR="007B5E6D">
        <w:t xml:space="preserve"> lying</w:t>
      </w:r>
      <w:r w:rsidR="00E07602">
        <w:t xml:space="preserve">, Oxygen saturation </w:t>
      </w:r>
      <w:r w:rsidR="0085540C">
        <w:t>76</w:t>
      </w:r>
      <w:r w:rsidR="00E07602">
        <w:t>% on 100% NRB</w:t>
      </w:r>
      <w:r w:rsidR="001C26D4">
        <w:t>.</w:t>
      </w:r>
    </w:p>
    <w:p w:rsidR="00CE0BB0" w:rsidRDefault="006E6DC6" w:rsidP="00AD37E5">
      <w:pPr>
        <w:spacing w:line="480" w:lineRule="auto"/>
        <w:ind w:left="1440" w:hanging="1440"/>
        <w:contextualSpacing/>
      </w:pPr>
      <w:r>
        <w:t>General:</w:t>
      </w:r>
      <w:r w:rsidR="001C26D4">
        <w:t xml:space="preserve"> </w:t>
      </w:r>
      <w:r w:rsidR="00AD37E5">
        <w:tab/>
      </w:r>
      <w:r w:rsidR="00E07602">
        <w:t>Appear</w:t>
      </w:r>
      <w:r w:rsidR="007B5E6D">
        <w:t>s</w:t>
      </w:r>
      <w:r w:rsidR="00E07602">
        <w:t xml:space="preserve"> critically ill</w:t>
      </w:r>
      <w:r w:rsidR="007B5E6D">
        <w:t xml:space="preserve"> and in severe respiratory distress.</w:t>
      </w:r>
    </w:p>
    <w:p w:rsidR="006272B9" w:rsidRDefault="006E6DC6" w:rsidP="00AD37E5">
      <w:pPr>
        <w:spacing w:line="480" w:lineRule="auto"/>
        <w:ind w:left="1440" w:hanging="1440"/>
        <w:contextualSpacing/>
      </w:pPr>
      <w:r>
        <w:t>Neuro</w:t>
      </w:r>
      <w:r w:rsidR="00BC1CB5">
        <w:t>logical</w:t>
      </w:r>
      <w:r>
        <w:t>:</w:t>
      </w:r>
      <w:r w:rsidR="005A077F">
        <w:tab/>
      </w:r>
      <w:r w:rsidR="000F652C">
        <w:t xml:space="preserve">Lethargic, but </w:t>
      </w:r>
      <w:r w:rsidR="007D46EC">
        <w:t>oriented times three</w:t>
      </w:r>
      <w:r w:rsidR="006272B9">
        <w:t>.</w:t>
      </w:r>
      <w:r w:rsidR="007E4456">
        <w:t xml:space="preserve"> </w:t>
      </w:r>
      <w:r w:rsidR="004E0188">
        <w:t>Appropriate and f</w:t>
      </w:r>
      <w:r w:rsidR="000F652C">
        <w:t>ollowing commands.</w:t>
      </w:r>
      <w:r w:rsidR="004E0188">
        <w:t xml:space="preserve"> </w:t>
      </w:r>
      <w:r w:rsidR="007D46EC">
        <w:t>Pupils three millimeters</w:t>
      </w:r>
      <w:r w:rsidR="007B5E6D">
        <w:t xml:space="preserve"> equal and </w:t>
      </w:r>
      <w:r w:rsidR="00076046">
        <w:t>brisk reactive</w:t>
      </w:r>
      <w:r w:rsidR="007B5E6D">
        <w:t xml:space="preserve"> to light. Extra ocular movements intact.</w:t>
      </w:r>
      <w:r w:rsidR="00C302DB">
        <w:t xml:space="preserve"> Left ptosis, left facial droop, smile asymmetrical. </w:t>
      </w:r>
      <w:r w:rsidR="004E0188">
        <w:t>Speech slurred</w:t>
      </w:r>
      <w:r w:rsidR="00E74B31">
        <w:t>. Left side of face with absent sensation to</w:t>
      </w:r>
      <w:r w:rsidR="007D46EC">
        <w:t xml:space="preserve"> d</w:t>
      </w:r>
      <w:r w:rsidR="00C302DB">
        <w:t>ull</w:t>
      </w:r>
      <w:r w:rsidR="00E74B31">
        <w:t xml:space="preserve"> or sharp touch</w:t>
      </w:r>
      <w:r w:rsidR="007B5E6D">
        <w:t>. Normal sensation on</w:t>
      </w:r>
      <w:r w:rsidR="00E74B31">
        <w:t xml:space="preserve"> right side of face.</w:t>
      </w:r>
      <w:r w:rsidR="007B5E6D">
        <w:t xml:space="preserve"> No other parathesias noted on exam. Gag and cough reflex intact.</w:t>
      </w:r>
      <w:r w:rsidR="004E0188">
        <w:t xml:space="preserve"> </w:t>
      </w:r>
      <w:r w:rsidR="00E74B31">
        <w:t xml:space="preserve">Babinski sign absent. </w:t>
      </w:r>
    </w:p>
    <w:p w:rsidR="006E6DC6" w:rsidRDefault="006E6DC6" w:rsidP="00AD37E5">
      <w:pPr>
        <w:spacing w:line="480" w:lineRule="auto"/>
        <w:ind w:left="1440" w:hanging="1440"/>
        <w:contextualSpacing/>
      </w:pPr>
      <w:r>
        <w:t>HEENT:</w:t>
      </w:r>
      <w:r w:rsidR="00843EA6">
        <w:t xml:space="preserve"> </w:t>
      </w:r>
      <w:r w:rsidR="00AD37E5">
        <w:tab/>
      </w:r>
      <w:r w:rsidR="00843EA6">
        <w:t xml:space="preserve">Head- normocephalic. Face- </w:t>
      </w:r>
      <w:r w:rsidR="00E74B31">
        <w:t>a</w:t>
      </w:r>
      <w:r w:rsidR="00065C4F">
        <w:t>symmetrical, facial bones non-</w:t>
      </w:r>
      <w:r w:rsidR="006272B9">
        <w:t>tender to palpate.</w:t>
      </w:r>
      <w:r w:rsidR="00E74B31">
        <w:t xml:space="preserve"> Left facial droop.</w:t>
      </w:r>
      <w:r w:rsidR="006272B9">
        <w:t xml:space="preserve"> </w:t>
      </w:r>
      <w:r w:rsidR="00E74B31">
        <w:t xml:space="preserve">Eyes- </w:t>
      </w:r>
      <w:r w:rsidR="007B5E6D">
        <w:t>sclera clear</w:t>
      </w:r>
      <w:r w:rsidR="006272B9">
        <w:t xml:space="preserve">. Ears- </w:t>
      </w:r>
      <w:r w:rsidR="00E16988">
        <w:t xml:space="preserve">tympanic membranes </w:t>
      </w:r>
      <w:r w:rsidR="004E0188">
        <w:t>clear bilaterally. Nares clear with septum intact.</w:t>
      </w:r>
      <w:r w:rsidR="006272B9">
        <w:t xml:space="preserve"> Mouth-</w:t>
      </w:r>
      <w:r w:rsidR="004E0188">
        <w:t xml:space="preserve"> lips and mucosa pale, dry and</w:t>
      </w:r>
      <w:r w:rsidR="006272B9">
        <w:t xml:space="preserve"> intact.</w:t>
      </w:r>
      <w:r w:rsidR="004E0188">
        <w:t xml:space="preserve"> No lesions noted on inspection.</w:t>
      </w:r>
      <w:r w:rsidR="00C80DE6">
        <w:t xml:space="preserve"> Neck- Unable to lift head off of bed.</w:t>
      </w:r>
      <w:r w:rsidR="006272B9">
        <w:t xml:space="preserve"> Trachea midline. No palpable</w:t>
      </w:r>
      <w:r w:rsidR="007D46EC">
        <w:t xml:space="preserve"> lymphadenopathy</w:t>
      </w:r>
      <w:r w:rsidR="004E0188">
        <w:t xml:space="preserve"> or goiters.</w:t>
      </w:r>
      <w:r w:rsidR="006272B9">
        <w:t xml:space="preserve"> </w:t>
      </w:r>
    </w:p>
    <w:p w:rsidR="00843EA6" w:rsidRDefault="006E6DC6" w:rsidP="00AD37E5">
      <w:pPr>
        <w:spacing w:line="480" w:lineRule="auto"/>
        <w:ind w:left="1440" w:hanging="1440"/>
        <w:contextualSpacing/>
      </w:pPr>
      <w:r>
        <w:t xml:space="preserve">Chest: </w:t>
      </w:r>
      <w:r w:rsidR="00843EA6">
        <w:tab/>
      </w:r>
      <w:r w:rsidR="00612D87">
        <w:t>Symmetrical expansion</w:t>
      </w:r>
      <w:r w:rsidR="00843EA6">
        <w:t xml:space="preserve"> and</w:t>
      </w:r>
      <w:r w:rsidR="00065C4F">
        <w:t xml:space="preserve"> chest</w:t>
      </w:r>
      <w:r w:rsidR="00843EA6">
        <w:t xml:space="preserve"> rise.</w:t>
      </w:r>
      <w:r w:rsidR="004305D0">
        <w:t xml:space="preserve"> Shallow</w:t>
      </w:r>
      <w:r w:rsidR="007D46EC">
        <w:t xml:space="preserve"> and rapid</w:t>
      </w:r>
      <w:r w:rsidR="002B3E27">
        <w:t xml:space="preserve"> respirations. No tenderness,</w:t>
      </w:r>
      <w:r w:rsidR="00CE0BB0">
        <w:t xml:space="preserve"> crepitus</w:t>
      </w:r>
      <w:r w:rsidR="002B3E27">
        <w:t>,</w:t>
      </w:r>
      <w:r w:rsidR="00E16988">
        <w:t xml:space="preserve"> or thrills</w:t>
      </w:r>
      <w:r w:rsidR="00CE0BB0">
        <w:t xml:space="preserve"> on palpation.</w:t>
      </w:r>
      <w:r w:rsidR="00843EA6">
        <w:t xml:space="preserve"> No ecchymosis, lesions or obvious </w:t>
      </w:r>
      <w:r w:rsidR="00CE0BB0">
        <w:t>deformity noted on inspection.</w:t>
      </w:r>
      <w:r w:rsidR="00843EA6">
        <w:t xml:space="preserve"> </w:t>
      </w:r>
    </w:p>
    <w:p w:rsidR="00166FF1" w:rsidRDefault="006E6DC6" w:rsidP="009622CA">
      <w:pPr>
        <w:spacing w:line="480" w:lineRule="auto"/>
        <w:ind w:left="1440" w:hanging="1440"/>
        <w:contextualSpacing/>
      </w:pPr>
      <w:r>
        <w:lastRenderedPageBreak/>
        <w:t>CV:</w:t>
      </w:r>
      <w:r w:rsidR="00843EA6">
        <w:t xml:space="preserve"> </w:t>
      </w:r>
      <w:r w:rsidR="00843EA6">
        <w:tab/>
        <w:t>S1 S2 strong and regular.</w:t>
      </w:r>
      <w:r w:rsidR="002B3E27">
        <w:t xml:space="preserve"> Sinus tachycardia.</w:t>
      </w:r>
      <w:r w:rsidR="00843EA6">
        <w:t xml:space="preserve"> No murmurs, rubs or gallops noted on auscultation.</w:t>
      </w:r>
      <w:r w:rsidR="002B3E27">
        <w:t xml:space="preserve"> No jugular vein distention.</w:t>
      </w:r>
      <w:r w:rsidR="009622CA">
        <w:t xml:space="preserve"> No carotid bruits on auscultation.</w:t>
      </w:r>
      <w:r w:rsidR="006C70B4">
        <w:t xml:space="preserve"> Bilateral ankle and feet +2 pitting edema</w:t>
      </w:r>
      <w:r w:rsidR="00166FF1">
        <w:t>. Peripheral pulses 2</w:t>
      </w:r>
      <w:r w:rsidR="004B28B7">
        <w:t xml:space="preserve">+ throughout. </w:t>
      </w:r>
    </w:p>
    <w:p w:rsidR="00166FF1" w:rsidRDefault="00166FF1" w:rsidP="00166FF1">
      <w:pPr>
        <w:spacing w:line="480" w:lineRule="auto"/>
        <w:contextualSpacing/>
      </w:pPr>
      <w:r>
        <w:t>Respiratory:</w:t>
      </w:r>
      <w:r w:rsidR="00CC2597">
        <w:tab/>
        <w:t>Lungs</w:t>
      </w:r>
      <w:r w:rsidR="002B3E27">
        <w:t xml:space="preserve"> are diffusely diminished throughout all lung fields.</w:t>
      </w:r>
      <w:r w:rsidR="00CC2597">
        <w:t xml:space="preserve"> No wheezes, rhonchi, </w:t>
      </w:r>
    </w:p>
    <w:p w:rsidR="00CC2597" w:rsidRDefault="002B3E27" w:rsidP="00CC2597">
      <w:pPr>
        <w:spacing w:line="480" w:lineRule="auto"/>
        <w:ind w:left="1440"/>
        <w:contextualSpacing/>
      </w:pPr>
      <w:r>
        <w:t>or crackles noted on auscultation.</w:t>
      </w:r>
      <w:r w:rsidR="00D33F4A">
        <w:t xml:space="preserve"> Tachypnea and positive use of accessory muscles noted.</w:t>
      </w:r>
    </w:p>
    <w:p w:rsidR="006E6DC6" w:rsidRDefault="006E6DC6" w:rsidP="00166FF1">
      <w:pPr>
        <w:spacing w:line="480" w:lineRule="auto"/>
        <w:contextualSpacing/>
      </w:pPr>
      <w:r>
        <w:t>Abdomen:</w:t>
      </w:r>
      <w:r w:rsidR="00CE0BB0">
        <w:t xml:space="preserve"> </w:t>
      </w:r>
      <w:r w:rsidR="004E3420">
        <w:tab/>
      </w:r>
      <w:r w:rsidR="00CC2597">
        <w:t>Soft, round and non-distended. Bowel sounds hypoactive throughout. Non-tender</w:t>
      </w:r>
    </w:p>
    <w:p w:rsidR="00CC2597" w:rsidRDefault="00CC2597" w:rsidP="00CC2597">
      <w:pPr>
        <w:spacing w:line="480" w:lineRule="auto"/>
        <w:ind w:left="1440"/>
        <w:contextualSpacing/>
      </w:pPr>
      <w:r>
        <w:t>with deep and light palpation. No peritoneal signs, palpable masses or organomeg</w:t>
      </w:r>
      <w:r w:rsidR="004965C5">
        <w:t>aly.</w:t>
      </w:r>
      <w:r>
        <w:t xml:space="preserve">  </w:t>
      </w:r>
    </w:p>
    <w:p w:rsidR="004E3401" w:rsidRDefault="006E6DC6" w:rsidP="0070248C">
      <w:pPr>
        <w:spacing w:line="480" w:lineRule="auto"/>
        <w:ind w:left="1440" w:hanging="1440"/>
        <w:contextualSpacing/>
      </w:pPr>
      <w:r>
        <w:t>GU:</w:t>
      </w:r>
      <w:r w:rsidR="00CC2597">
        <w:tab/>
      </w:r>
      <w:r w:rsidR="004E3401">
        <w:t>No peria</w:t>
      </w:r>
      <w:r w:rsidR="0070248C">
        <w:t xml:space="preserve">nal blood or ecchymosis noted. </w:t>
      </w:r>
    </w:p>
    <w:p w:rsidR="005B4FB6" w:rsidRDefault="006E6DC6" w:rsidP="00DE5246">
      <w:pPr>
        <w:spacing w:line="480" w:lineRule="auto"/>
        <w:ind w:left="1440" w:hanging="1440"/>
        <w:contextualSpacing/>
      </w:pPr>
      <w:r>
        <w:t>M/S:</w:t>
      </w:r>
      <w:r w:rsidR="004E3401">
        <w:tab/>
      </w:r>
      <w:r w:rsidR="004E0188">
        <w:t>Bilateral lower extremities with passive range of motion only. Strength 0/5 in lower extremities</w:t>
      </w:r>
      <w:r w:rsidR="00DE5246">
        <w:t>.</w:t>
      </w:r>
      <w:r w:rsidR="004E0188">
        <w:t xml:space="preserve"> Numbness in bilateral feet with inability to feel sharp or dull sensation.</w:t>
      </w:r>
      <w:r w:rsidR="004965C5">
        <w:t xml:space="preserve"> </w:t>
      </w:r>
      <w:r w:rsidR="004E0188">
        <w:t>Bilateral arms with</w:t>
      </w:r>
      <w:r w:rsidR="003106D5">
        <w:t xml:space="preserve"> decreased range of motion and strength 1</w:t>
      </w:r>
      <w:r w:rsidR="004E0188">
        <w:t>/5.</w:t>
      </w:r>
      <w:r w:rsidR="007B5E6D">
        <w:t xml:space="preserve"> Deep tendon re</w:t>
      </w:r>
      <w:r w:rsidR="003106D5">
        <w:t>flexes absent in all four</w:t>
      </w:r>
      <w:r w:rsidR="007B5E6D">
        <w:t xml:space="preserve"> extremities.</w:t>
      </w:r>
      <w:r w:rsidR="00DE5246">
        <w:t xml:space="preserve"> No</w:t>
      </w:r>
      <w:r w:rsidR="005B4FB6">
        <w:t xml:space="preserve"> joint</w:t>
      </w:r>
      <w:r w:rsidR="00DE5246">
        <w:t xml:space="preserve"> edema,</w:t>
      </w:r>
      <w:r w:rsidR="005B4FB6">
        <w:t xml:space="preserve"> </w:t>
      </w:r>
      <w:r w:rsidR="004E0188">
        <w:t>tenderness, or ecchymosis.</w:t>
      </w:r>
      <w:r w:rsidR="00C56C55">
        <w:t xml:space="preserve"> </w:t>
      </w:r>
      <w:r w:rsidR="00E30C53">
        <w:t>Cap refill less than three</w:t>
      </w:r>
      <w:r w:rsidR="00961860">
        <w:t xml:space="preserve"> seconds.</w:t>
      </w:r>
      <w:r w:rsidR="00AA65D6">
        <w:t xml:space="preserve"> Extremities warm. </w:t>
      </w:r>
      <w:r w:rsidR="00D70B78">
        <w:t xml:space="preserve"> </w:t>
      </w:r>
      <w:r w:rsidR="00961860">
        <w:t xml:space="preserve"> </w:t>
      </w:r>
    </w:p>
    <w:p w:rsidR="006E6DC6" w:rsidRDefault="006E6DC6" w:rsidP="00E03B9E">
      <w:pPr>
        <w:spacing w:line="480" w:lineRule="auto"/>
        <w:ind w:left="1440" w:hanging="1440"/>
        <w:contextualSpacing/>
      </w:pPr>
      <w:r>
        <w:t>Skin:</w:t>
      </w:r>
      <w:r w:rsidR="006312C0">
        <w:tab/>
        <w:t>Pale</w:t>
      </w:r>
      <w:r w:rsidR="00E03B9E">
        <w:t>, warm, dry and grossly int</w:t>
      </w:r>
      <w:r w:rsidR="004E0188">
        <w:t>act.</w:t>
      </w:r>
      <w:r w:rsidR="00E03B9E">
        <w:t xml:space="preserve"> </w:t>
      </w:r>
      <w:r w:rsidR="00DD0ABE">
        <w:t xml:space="preserve">No rashes, lesions, masses or petechiae visualized.  </w:t>
      </w:r>
      <w:r w:rsidR="005A077F">
        <w:t xml:space="preserve"> </w:t>
      </w:r>
    </w:p>
    <w:p w:rsidR="00B95D84" w:rsidRDefault="006E6DC6" w:rsidP="00B95D84">
      <w:pPr>
        <w:spacing w:line="480" w:lineRule="auto"/>
        <w:ind w:left="1440" w:hanging="1440"/>
        <w:contextualSpacing/>
      </w:pPr>
      <w:r>
        <w:t xml:space="preserve">Spine: </w:t>
      </w:r>
      <w:r w:rsidR="006E6CC9">
        <w:tab/>
        <w:t>Cervical</w:t>
      </w:r>
      <w:r w:rsidR="00CC616D">
        <w:t xml:space="preserve"> and </w:t>
      </w:r>
      <w:r w:rsidR="006E6CC9">
        <w:t>t</w:t>
      </w:r>
      <w:r w:rsidR="00CC616D">
        <w:t xml:space="preserve">horacic </w:t>
      </w:r>
      <w:r w:rsidR="00F64BC7">
        <w:t>spine non-tender to palpate.</w:t>
      </w:r>
      <w:r w:rsidR="00CC616D">
        <w:t xml:space="preserve"> Midline lumbar and sacral spine tenderness to palpate.</w:t>
      </w:r>
      <w:r w:rsidR="00F64BC7">
        <w:t xml:space="preserve"> No step-offs or palpable deformity. </w:t>
      </w:r>
    </w:p>
    <w:p w:rsidR="00B95D84" w:rsidRPr="00B95D84" w:rsidRDefault="00351488" w:rsidP="00B95D84">
      <w:pPr>
        <w:spacing w:line="480" w:lineRule="auto"/>
        <w:ind w:left="1440" w:hanging="1440"/>
        <w:contextualSpacing/>
      </w:pPr>
      <w:r>
        <w:rPr>
          <w:b/>
        </w:rPr>
        <w:t>Data</w:t>
      </w:r>
    </w:p>
    <w:p w:rsidR="00A80767" w:rsidRDefault="00B95D84" w:rsidP="00A80767">
      <w:pPr>
        <w:spacing w:line="480" w:lineRule="auto"/>
        <w:ind w:left="1440" w:hanging="1440"/>
        <w:contextualSpacing/>
        <w:jc w:val="both"/>
        <w:rPr>
          <w:b/>
        </w:rPr>
      </w:pPr>
      <w:r>
        <w:rPr>
          <w:b/>
        </w:rPr>
        <w:t>Table 1. Laboratory Findings</w:t>
      </w:r>
    </w:p>
    <w:tbl>
      <w:tblPr>
        <w:tblStyle w:val="TableGrid"/>
        <w:tblW w:w="9828" w:type="dxa"/>
        <w:tblLook w:val="04A0" w:firstRow="1" w:lastRow="0" w:firstColumn="1" w:lastColumn="0" w:noHBand="0" w:noVBand="1"/>
      </w:tblPr>
      <w:tblGrid>
        <w:gridCol w:w="4878"/>
        <w:gridCol w:w="4950"/>
      </w:tblGrid>
      <w:tr w:rsidR="00A80767" w:rsidTr="00A80767">
        <w:tc>
          <w:tcPr>
            <w:tcW w:w="4878" w:type="dxa"/>
          </w:tcPr>
          <w:p w:rsidR="00A80767" w:rsidRPr="00A80767" w:rsidRDefault="00A80767" w:rsidP="00A80767">
            <w:pPr>
              <w:spacing w:line="480" w:lineRule="auto"/>
              <w:contextualSpacing/>
              <w:jc w:val="center"/>
              <w:rPr>
                <w:b/>
              </w:rPr>
            </w:pPr>
            <w:r>
              <w:rPr>
                <w:b/>
              </w:rPr>
              <w:t>Complete Blood Count</w:t>
            </w:r>
          </w:p>
        </w:tc>
        <w:tc>
          <w:tcPr>
            <w:tcW w:w="4950" w:type="dxa"/>
          </w:tcPr>
          <w:p w:rsidR="00A80767" w:rsidRPr="00A80767" w:rsidRDefault="00A80767" w:rsidP="00A80767">
            <w:pPr>
              <w:spacing w:line="480" w:lineRule="auto"/>
              <w:contextualSpacing/>
              <w:jc w:val="center"/>
              <w:rPr>
                <w:b/>
              </w:rPr>
            </w:pPr>
            <w:r>
              <w:rPr>
                <w:b/>
              </w:rPr>
              <w:t>Chemistry</w:t>
            </w:r>
          </w:p>
        </w:tc>
      </w:tr>
      <w:tr w:rsidR="00B95D84" w:rsidTr="00A80767">
        <w:tc>
          <w:tcPr>
            <w:tcW w:w="4878" w:type="dxa"/>
          </w:tcPr>
          <w:p w:rsidR="00B95D84" w:rsidRDefault="00A80767" w:rsidP="00B95D84">
            <w:pPr>
              <w:spacing w:line="480" w:lineRule="auto"/>
              <w:contextualSpacing/>
              <w:jc w:val="both"/>
            </w:pPr>
            <w:r>
              <w:t xml:space="preserve">WBC                   </w:t>
            </w:r>
            <w:r w:rsidR="00271AAB">
              <w:t>1</w:t>
            </w:r>
            <w:r w:rsidR="006C70B4">
              <w:t>1</w:t>
            </w:r>
            <w:r>
              <w:t xml:space="preserve">.0                        </w:t>
            </w:r>
            <w:r w:rsidRPr="00A80767">
              <w:t>4.5-11 K/L</w:t>
            </w:r>
          </w:p>
        </w:tc>
        <w:tc>
          <w:tcPr>
            <w:tcW w:w="4950" w:type="dxa"/>
          </w:tcPr>
          <w:p w:rsidR="00B95D84" w:rsidRDefault="00A80767" w:rsidP="00B95D84">
            <w:pPr>
              <w:spacing w:line="480" w:lineRule="auto"/>
              <w:contextualSpacing/>
              <w:jc w:val="both"/>
            </w:pPr>
            <w:r w:rsidRPr="00A80767">
              <w:t xml:space="preserve">Na                  </w:t>
            </w:r>
            <w:r w:rsidR="006153AC">
              <w:t xml:space="preserve">   </w:t>
            </w:r>
            <w:r w:rsidR="00271AAB">
              <w:t>138</w:t>
            </w:r>
            <w:r w:rsidRPr="00A80767">
              <w:t xml:space="preserve">                   135-145 mmol/L</w:t>
            </w:r>
          </w:p>
        </w:tc>
      </w:tr>
      <w:tr w:rsidR="00B95D84" w:rsidTr="00A80767">
        <w:tc>
          <w:tcPr>
            <w:tcW w:w="4878" w:type="dxa"/>
          </w:tcPr>
          <w:p w:rsidR="00B95D84" w:rsidRDefault="00A80767" w:rsidP="00B95D84">
            <w:pPr>
              <w:spacing w:line="480" w:lineRule="auto"/>
              <w:contextualSpacing/>
              <w:jc w:val="both"/>
            </w:pPr>
            <w:r>
              <w:lastRenderedPageBreak/>
              <w:t xml:space="preserve">HGB  </w:t>
            </w:r>
            <w:r w:rsidRPr="00A80767">
              <w:t xml:space="preserve">                </w:t>
            </w:r>
            <w:r>
              <w:t xml:space="preserve"> </w:t>
            </w:r>
            <w:r w:rsidR="00271AAB">
              <w:t>11</w:t>
            </w:r>
            <w:r>
              <w:t xml:space="preserve">                            </w:t>
            </w:r>
            <w:r w:rsidR="00F25120">
              <w:t>12-16</w:t>
            </w:r>
            <w:r w:rsidRPr="00A80767">
              <w:t xml:space="preserve"> g/dL</w:t>
            </w:r>
          </w:p>
        </w:tc>
        <w:tc>
          <w:tcPr>
            <w:tcW w:w="4950" w:type="dxa"/>
          </w:tcPr>
          <w:p w:rsidR="00B95D84" w:rsidRDefault="00A80767" w:rsidP="00B95D84">
            <w:pPr>
              <w:spacing w:line="480" w:lineRule="auto"/>
              <w:contextualSpacing/>
              <w:jc w:val="both"/>
            </w:pPr>
            <w:r w:rsidRPr="00A80767">
              <w:t xml:space="preserve">K                    </w:t>
            </w:r>
            <w:r w:rsidR="006153AC">
              <w:t xml:space="preserve">   </w:t>
            </w:r>
            <w:r w:rsidR="00271AAB">
              <w:t>4.2</w:t>
            </w:r>
            <w:r w:rsidRPr="00A80767">
              <w:t xml:space="preserve">                    3.5-5.2 mmol/L</w:t>
            </w:r>
          </w:p>
        </w:tc>
      </w:tr>
      <w:tr w:rsidR="00B95D84" w:rsidTr="00A80767">
        <w:tc>
          <w:tcPr>
            <w:tcW w:w="4878" w:type="dxa"/>
          </w:tcPr>
          <w:p w:rsidR="00B95D84" w:rsidRDefault="00A80767" w:rsidP="00B95D84">
            <w:pPr>
              <w:spacing w:line="480" w:lineRule="auto"/>
              <w:contextualSpacing/>
              <w:jc w:val="both"/>
            </w:pPr>
            <w:r>
              <w:t>HCT</w:t>
            </w:r>
            <w:r w:rsidRPr="00A80767">
              <w:t xml:space="preserve">                 </w:t>
            </w:r>
            <w:r>
              <w:t xml:space="preserve">  </w:t>
            </w:r>
            <w:r w:rsidR="00F25120">
              <w:t xml:space="preserve"> </w:t>
            </w:r>
            <w:r w:rsidR="00271AAB">
              <w:t>33</w:t>
            </w:r>
            <w:r>
              <w:t xml:space="preserve">                               </w:t>
            </w:r>
            <w:r w:rsidR="00F25120">
              <w:t>36-48</w:t>
            </w:r>
            <w:r w:rsidRPr="00A80767">
              <w:t xml:space="preserve">%                </w:t>
            </w:r>
          </w:p>
        </w:tc>
        <w:tc>
          <w:tcPr>
            <w:tcW w:w="4950" w:type="dxa"/>
          </w:tcPr>
          <w:p w:rsidR="00B95D84" w:rsidRDefault="00A80767" w:rsidP="00B95D84">
            <w:pPr>
              <w:spacing w:line="480" w:lineRule="auto"/>
              <w:contextualSpacing/>
              <w:jc w:val="both"/>
            </w:pPr>
            <w:r w:rsidRPr="00A80767">
              <w:t xml:space="preserve">CL                   </w:t>
            </w:r>
            <w:r w:rsidR="006153AC">
              <w:t xml:space="preserve"> </w:t>
            </w:r>
            <w:r w:rsidR="00271AAB">
              <w:t>106</w:t>
            </w:r>
            <w:r w:rsidRPr="00A80767">
              <w:t xml:space="preserve">                    98-108 mmol/L</w:t>
            </w:r>
          </w:p>
        </w:tc>
      </w:tr>
      <w:tr w:rsidR="00B95D84" w:rsidTr="00A80767">
        <w:tc>
          <w:tcPr>
            <w:tcW w:w="4878" w:type="dxa"/>
          </w:tcPr>
          <w:p w:rsidR="00B95D84" w:rsidRDefault="00A80767" w:rsidP="00B95D84">
            <w:pPr>
              <w:spacing w:line="480" w:lineRule="auto"/>
              <w:contextualSpacing/>
              <w:jc w:val="both"/>
            </w:pPr>
            <w:r>
              <w:t xml:space="preserve">PLT                  </w:t>
            </w:r>
            <w:r w:rsidR="008E17F6">
              <w:t xml:space="preserve">  </w:t>
            </w:r>
            <w:r w:rsidR="00271AAB">
              <w:t>150</w:t>
            </w:r>
            <w:r>
              <w:t xml:space="preserve">               </w:t>
            </w:r>
            <w:r w:rsidR="008E17F6">
              <w:t xml:space="preserve">        </w:t>
            </w:r>
            <w:r w:rsidRPr="00A80767">
              <w:t>150-400k/uL</w:t>
            </w:r>
          </w:p>
        </w:tc>
        <w:tc>
          <w:tcPr>
            <w:tcW w:w="4950" w:type="dxa"/>
          </w:tcPr>
          <w:p w:rsidR="00B95D84" w:rsidRDefault="00A80767" w:rsidP="00B95D84">
            <w:pPr>
              <w:spacing w:line="480" w:lineRule="auto"/>
              <w:contextualSpacing/>
              <w:jc w:val="both"/>
            </w:pPr>
            <w:r w:rsidRPr="00A80767">
              <w:t xml:space="preserve">CO2                  </w:t>
            </w:r>
            <w:r w:rsidR="00271AAB">
              <w:t>22</w:t>
            </w:r>
            <w:r w:rsidRPr="00A80767">
              <w:t xml:space="preserve">                       22-30 mmol/L</w:t>
            </w:r>
          </w:p>
        </w:tc>
      </w:tr>
      <w:tr w:rsidR="00B95D84" w:rsidTr="00A80767">
        <w:tc>
          <w:tcPr>
            <w:tcW w:w="4878" w:type="dxa"/>
          </w:tcPr>
          <w:p w:rsidR="00B95D84" w:rsidRDefault="00A80767" w:rsidP="00B95D84">
            <w:pPr>
              <w:spacing w:line="480" w:lineRule="auto"/>
              <w:contextualSpacing/>
              <w:jc w:val="both"/>
            </w:pPr>
            <w:r w:rsidRPr="00A80767">
              <w:t>RBC                    4.2                     4.3-5.7 M/uL</w:t>
            </w:r>
          </w:p>
        </w:tc>
        <w:tc>
          <w:tcPr>
            <w:tcW w:w="4950" w:type="dxa"/>
          </w:tcPr>
          <w:p w:rsidR="00B95D84" w:rsidRDefault="00A80767" w:rsidP="00B95D84">
            <w:pPr>
              <w:spacing w:line="480" w:lineRule="auto"/>
              <w:contextualSpacing/>
              <w:jc w:val="both"/>
            </w:pPr>
            <w:r w:rsidRPr="00A80767">
              <w:t xml:space="preserve">BUN                 </w:t>
            </w:r>
            <w:r w:rsidR="00271AAB">
              <w:t>26</w:t>
            </w:r>
            <w:r w:rsidRPr="00A80767">
              <w:t xml:space="preserve">                          10-20mg/dL                          </w:t>
            </w:r>
          </w:p>
        </w:tc>
      </w:tr>
      <w:tr w:rsidR="00B95D84" w:rsidTr="00A80767">
        <w:tc>
          <w:tcPr>
            <w:tcW w:w="4878" w:type="dxa"/>
          </w:tcPr>
          <w:p w:rsidR="00B95D84" w:rsidRDefault="00A80767" w:rsidP="00B95D84">
            <w:pPr>
              <w:spacing w:line="480" w:lineRule="auto"/>
              <w:contextualSpacing/>
              <w:jc w:val="both"/>
            </w:pPr>
            <w:r w:rsidRPr="00A80767">
              <w:t>Neutrophils         44                              40-60%</w:t>
            </w:r>
          </w:p>
        </w:tc>
        <w:tc>
          <w:tcPr>
            <w:tcW w:w="4950" w:type="dxa"/>
          </w:tcPr>
          <w:p w:rsidR="00B95D84" w:rsidRDefault="00A80767" w:rsidP="00B95D84">
            <w:pPr>
              <w:spacing w:line="480" w:lineRule="auto"/>
              <w:contextualSpacing/>
              <w:jc w:val="both"/>
            </w:pPr>
            <w:r w:rsidRPr="00A80767">
              <w:t xml:space="preserve">Glucose           </w:t>
            </w:r>
            <w:r w:rsidR="006153AC">
              <w:t xml:space="preserve"> </w:t>
            </w:r>
            <w:r w:rsidR="00DB4C52">
              <w:t>82</w:t>
            </w:r>
            <w:r w:rsidRPr="00A80767">
              <w:t xml:space="preserve">                         70-110 mg/dL</w:t>
            </w:r>
          </w:p>
        </w:tc>
      </w:tr>
      <w:tr w:rsidR="00B95D84" w:rsidTr="00A80767">
        <w:tc>
          <w:tcPr>
            <w:tcW w:w="4878" w:type="dxa"/>
          </w:tcPr>
          <w:p w:rsidR="00B95D84" w:rsidRDefault="00F25120" w:rsidP="00B95D84">
            <w:pPr>
              <w:spacing w:line="480" w:lineRule="auto"/>
              <w:contextualSpacing/>
              <w:jc w:val="both"/>
            </w:pPr>
            <w:r>
              <w:t>Lymphocytes       35</w:t>
            </w:r>
            <w:r w:rsidR="00A80767" w:rsidRPr="00A80767">
              <w:t xml:space="preserve">                             20-40 %</w:t>
            </w:r>
          </w:p>
        </w:tc>
        <w:tc>
          <w:tcPr>
            <w:tcW w:w="4950" w:type="dxa"/>
          </w:tcPr>
          <w:p w:rsidR="00B95D84" w:rsidRDefault="00A80767" w:rsidP="00B95D84">
            <w:pPr>
              <w:spacing w:line="480" w:lineRule="auto"/>
              <w:contextualSpacing/>
              <w:jc w:val="both"/>
            </w:pPr>
            <w:r w:rsidRPr="00A80767">
              <w:t>Creat</w:t>
            </w:r>
            <w:r w:rsidR="000B5DC5">
              <w:t>inine</w:t>
            </w:r>
            <w:r w:rsidRPr="00A80767">
              <w:t xml:space="preserve">         </w:t>
            </w:r>
            <w:r w:rsidR="00271AAB">
              <w:t>1</w:t>
            </w:r>
            <w:r w:rsidR="008B062B">
              <w:t>.5</w:t>
            </w:r>
            <w:r w:rsidRPr="00A80767">
              <w:t xml:space="preserve">                       0.6-1.2 mg/dL</w:t>
            </w:r>
          </w:p>
        </w:tc>
      </w:tr>
      <w:tr w:rsidR="008966D1" w:rsidTr="00A80767">
        <w:tc>
          <w:tcPr>
            <w:tcW w:w="4878" w:type="dxa"/>
          </w:tcPr>
          <w:p w:rsidR="008966D1" w:rsidRPr="00A80767" w:rsidRDefault="008966D1" w:rsidP="00B95D84">
            <w:pPr>
              <w:spacing w:line="480" w:lineRule="auto"/>
              <w:contextualSpacing/>
              <w:jc w:val="both"/>
            </w:pPr>
            <w:r>
              <w:t>Monocytes           7                                  2-8%</w:t>
            </w:r>
          </w:p>
        </w:tc>
        <w:tc>
          <w:tcPr>
            <w:tcW w:w="4950" w:type="dxa"/>
          </w:tcPr>
          <w:p w:rsidR="008966D1" w:rsidRPr="00A80767" w:rsidRDefault="008966D1" w:rsidP="00B95D84">
            <w:pPr>
              <w:spacing w:line="480" w:lineRule="auto"/>
              <w:contextualSpacing/>
              <w:jc w:val="both"/>
            </w:pPr>
            <w:r>
              <w:t>Phosphorus         3.5                      2.5-4.5 mg/dL</w:t>
            </w:r>
          </w:p>
        </w:tc>
      </w:tr>
      <w:tr w:rsidR="00B95D84" w:rsidTr="008966D1">
        <w:trPr>
          <w:trHeight w:val="647"/>
        </w:trPr>
        <w:tc>
          <w:tcPr>
            <w:tcW w:w="4878" w:type="dxa"/>
          </w:tcPr>
          <w:p w:rsidR="00B95D84" w:rsidRDefault="008966D1" w:rsidP="00B95D84">
            <w:pPr>
              <w:spacing w:line="480" w:lineRule="auto"/>
              <w:contextualSpacing/>
              <w:jc w:val="both"/>
            </w:pPr>
            <w:r>
              <w:t xml:space="preserve">Bands                   </w:t>
            </w:r>
            <w:r w:rsidRPr="00A80767">
              <w:t>0                                  0-3%</w:t>
            </w:r>
            <w:r w:rsidR="00A80767" w:rsidRPr="00A80767">
              <w:t xml:space="preserve">    </w:t>
            </w:r>
          </w:p>
        </w:tc>
        <w:tc>
          <w:tcPr>
            <w:tcW w:w="4950" w:type="dxa"/>
          </w:tcPr>
          <w:p w:rsidR="00B95D84" w:rsidRDefault="00A80767" w:rsidP="00B95D84">
            <w:pPr>
              <w:spacing w:line="480" w:lineRule="auto"/>
              <w:contextualSpacing/>
              <w:jc w:val="both"/>
            </w:pPr>
            <w:r w:rsidRPr="00A80767">
              <w:t xml:space="preserve">Mg                  </w:t>
            </w:r>
            <w:r w:rsidR="006153AC">
              <w:t xml:space="preserve"> </w:t>
            </w:r>
            <w:r w:rsidRPr="00A80767">
              <w:t>2.0                        1.3-2.1 mEq/L</w:t>
            </w:r>
          </w:p>
        </w:tc>
      </w:tr>
      <w:tr w:rsidR="00A80767" w:rsidTr="00A80767">
        <w:tc>
          <w:tcPr>
            <w:tcW w:w="4878" w:type="dxa"/>
          </w:tcPr>
          <w:p w:rsidR="00A80767" w:rsidRPr="00A80767" w:rsidRDefault="00A80767" w:rsidP="00B95D84">
            <w:pPr>
              <w:spacing w:line="480" w:lineRule="auto"/>
              <w:contextualSpacing/>
              <w:jc w:val="both"/>
            </w:pPr>
            <w:r w:rsidRPr="00A80767">
              <w:t>Bands                   0                                  0-3%</w:t>
            </w:r>
          </w:p>
        </w:tc>
        <w:tc>
          <w:tcPr>
            <w:tcW w:w="4950" w:type="dxa"/>
          </w:tcPr>
          <w:p w:rsidR="00A80767" w:rsidRPr="00DB6931" w:rsidRDefault="00DB6931" w:rsidP="00C35213">
            <w:pPr>
              <w:spacing w:line="480" w:lineRule="auto"/>
              <w:contextualSpacing/>
              <w:jc w:val="center"/>
              <w:rPr>
                <w:b/>
              </w:rPr>
            </w:pPr>
            <w:r>
              <w:rPr>
                <w:b/>
              </w:rPr>
              <w:t>Other Labs</w:t>
            </w:r>
          </w:p>
        </w:tc>
      </w:tr>
      <w:tr w:rsidR="00984F4A" w:rsidTr="00A80767">
        <w:tc>
          <w:tcPr>
            <w:tcW w:w="4878" w:type="dxa"/>
          </w:tcPr>
          <w:p w:rsidR="00984F4A" w:rsidRPr="00A80767" w:rsidRDefault="00984F4A" w:rsidP="00B95D84">
            <w:pPr>
              <w:spacing w:line="480" w:lineRule="auto"/>
              <w:contextualSpacing/>
              <w:jc w:val="both"/>
            </w:pPr>
            <w:r>
              <w:t>INR                     1.0                          0.9-1.1 sec.</w:t>
            </w:r>
          </w:p>
        </w:tc>
        <w:tc>
          <w:tcPr>
            <w:tcW w:w="4950" w:type="dxa"/>
          </w:tcPr>
          <w:p w:rsidR="00984F4A" w:rsidRDefault="00DB6931" w:rsidP="00B95D84">
            <w:pPr>
              <w:spacing w:line="480" w:lineRule="auto"/>
              <w:contextualSpacing/>
              <w:jc w:val="both"/>
            </w:pPr>
            <w:r>
              <w:t>Troponin          &lt;0.01</w:t>
            </w:r>
            <w:r w:rsidR="00F97D60">
              <w:t xml:space="preserve">                       &lt;0.01 ng/ml</w:t>
            </w:r>
          </w:p>
        </w:tc>
      </w:tr>
      <w:tr w:rsidR="00271AAB" w:rsidTr="00A80767">
        <w:tc>
          <w:tcPr>
            <w:tcW w:w="4878" w:type="dxa"/>
          </w:tcPr>
          <w:p w:rsidR="00271AAB" w:rsidRPr="008966D1" w:rsidRDefault="008966D1" w:rsidP="008966D1">
            <w:pPr>
              <w:spacing w:line="480" w:lineRule="auto"/>
              <w:contextualSpacing/>
              <w:jc w:val="center"/>
              <w:rPr>
                <w:b/>
              </w:rPr>
            </w:pPr>
            <w:r>
              <w:rPr>
                <w:b/>
              </w:rPr>
              <w:t>Arterial Blood Gas</w:t>
            </w:r>
          </w:p>
        </w:tc>
        <w:tc>
          <w:tcPr>
            <w:tcW w:w="4950" w:type="dxa"/>
          </w:tcPr>
          <w:p w:rsidR="000B5DC5" w:rsidRDefault="000B5DC5" w:rsidP="000B5DC5">
            <w:pPr>
              <w:contextualSpacing/>
            </w:pPr>
            <w:r>
              <w:t>Creatinine</w:t>
            </w:r>
            <w:r w:rsidR="002E656A">
              <w:t xml:space="preserve">          </w:t>
            </w:r>
            <w:r w:rsidR="007C3786">
              <w:t xml:space="preserve">  55</w:t>
            </w:r>
            <w:r>
              <w:t xml:space="preserve">                </w:t>
            </w:r>
            <w:r w:rsidR="007C3786">
              <w:t xml:space="preserve">       </w:t>
            </w:r>
            <w:r>
              <w:t>10-120 mcg/L</w:t>
            </w:r>
          </w:p>
          <w:p w:rsidR="00271AAB" w:rsidRDefault="000B5DC5" w:rsidP="000B5DC5">
            <w:pPr>
              <w:contextualSpacing/>
              <w:jc w:val="both"/>
            </w:pPr>
            <w:r>
              <w:t xml:space="preserve">Phosphokinase </w:t>
            </w:r>
          </w:p>
        </w:tc>
      </w:tr>
      <w:tr w:rsidR="000B5DC5" w:rsidTr="00A80767">
        <w:tc>
          <w:tcPr>
            <w:tcW w:w="4878" w:type="dxa"/>
          </w:tcPr>
          <w:p w:rsidR="000B5DC5" w:rsidRDefault="005B2B14" w:rsidP="00B95D84">
            <w:pPr>
              <w:spacing w:line="480" w:lineRule="auto"/>
              <w:contextualSpacing/>
              <w:jc w:val="both"/>
            </w:pPr>
            <w:r>
              <w:t xml:space="preserve">PH </w:t>
            </w:r>
            <w:r w:rsidR="006C70B4">
              <w:t xml:space="preserve">                   7.50                           7.35-7.45                     </w:t>
            </w:r>
          </w:p>
          <w:p w:rsidR="005B2B14" w:rsidRDefault="006C70B4" w:rsidP="00B95D84">
            <w:pPr>
              <w:spacing w:line="480" w:lineRule="auto"/>
              <w:contextualSpacing/>
              <w:jc w:val="both"/>
            </w:pPr>
            <w:r>
              <w:t>pCO2                 30                        35-45 mm Hg</w:t>
            </w:r>
          </w:p>
          <w:p w:rsidR="006C70B4" w:rsidRDefault="006C70B4" w:rsidP="00B95D84">
            <w:pPr>
              <w:spacing w:line="480" w:lineRule="auto"/>
              <w:contextualSpacing/>
              <w:jc w:val="both"/>
            </w:pPr>
            <w:r>
              <w:t xml:space="preserve">PO2                  </w:t>
            </w:r>
            <w:r w:rsidR="00FF1156">
              <w:t xml:space="preserve"> 62</w:t>
            </w:r>
            <w:r>
              <w:t xml:space="preserve">                           &gt;80 mm Hg</w:t>
            </w:r>
          </w:p>
          <w:p w:rsidR="006C70B4" w:rsidRDefault="006C70B4" w:rsidP="00B95D84">
            <w:pPr>
              <w:spacing w:line="480" w:lineRule="auto"/>
              <w:contextualSpacing/>
              <w:jc w:val="both"/>
            </w:pPr>
            <w:r>
              <w:t xml:space="preserve">HCO3               </w:t>
            </w:r>
            <w:r w:rsidR="009C7345">
              <w:t>27                        21-28 mmol/L</w:t>
            </w:r>
          </w:p>
          <w:p w:rsidR="006C70B4" w:rsidRDefault="006C70B4" w:rsidP="00B95D84">
            <w:pPr>
              <w:spacing w:line="480" w:lineRule="auto"/>
              <w:contextualSpacing/>
              <w:jc w:val="both"/>
            </w:pPr>
            <w:r>
              <w:t>SaO2</w:t>
            </w:r>
            <w:r w:rsidR="009C7345">
              <w:t xml:space="preserve">                 </w:t>
            </w:r>
            <w:r w:rsidR="00FF1156">
              <w:t>76</w:t>
            </w:r>
            <w:r w:rsidR="0085540C">
              <w:t xml:space="preserve">                              &gt;95%</w:t>
            </w:r>
          </w:p>
        </w:tc>
        <w:tc>
          <w:tcPr>
            <w:tcW w:w="4950" w:type="dxa"/>
          </w:tcPr>
          <w:p w:rsidR="0085540C" w:rsidRDefault="005B2B14" w:rsidP="000B5DC5">
            <w:pPr>
              <w:contextualSpacing/>
            </w:pPr>
            <w:r>
              <w:t>Lactate               2.5                         &lt;2.2 mmol/L</w:t>
            </w:r>
          </w:p>
          <w:p w:rsidR="0085540C" w:rsidRDefault="0085540C" w:rsidP="000B5DC5">
            <w:pPr>
              <w:contextualSpacing/>
            </w:pPr>
          </w:p>
          <w:p w:rsidR="000D569D" w:rsidRDefault="0085540C" w:rsidP="000B5DC5">
            <w:pPr>
              <w:contextualSpacing/>
            </w:pPr>
            <w:r>
              <w:t xml:space="preserve">Prealbumin </w:t>
            </w:r>
            <w:r w:rsidR="005B2B14">
              <w:t xml:space="preserve">          </w:t>
            </w:r>
            <w:r>
              <w:t>4                          12-50 mg/dL</w:t>
            </w:r>
          </w:p>
          <w:p w:rsidR="0057480C" w:rsidRDefault="0057480C" w:rsidP="000B5DC5">
            <w:pPr>
              <w:contextualSpacing/>
            </w:pPr>
          </w:p>
          <w:p w:rsidR="0057480C" w:rsidRDefault="0057480C" w:rsidP="000B5DC5">
            <w:pPr>
              <w:contextualSpacing/>
            </w:pPr>
          </w:p>
          <w:p w:rsidR="000D569D" w:rsidRDefault="000D569D" w:rsidP="000B5DC5">
            <w:pPr>
              <w:contextualSpacing/>
            </w:pPr>
          </w:p>
          <w:p w:rsidR="008966D1" w:rsidRDefault="0085540C" w:rsidP="000B5DC5">
            <w:pPr>
              <w:contextualSpacing/>
            </w:pPr>
            <w:r>
              <w:t xml:space="preserve"> </w:t>
            </w:r>
            <w:r w:rsidR="005B2B14">
              <w:t xml:space="preserve">                              </w:t>
            </w:r>
          </w:p>
        </w:tc>
      </w:tr>
    </w:tbl>
    <w:p w:rsidR="00351488" w:rsidRDefault="00351488" w:rsidP="00B95D84">
      <w:pPr>
        <w:spacing w:line="480" w:lineRule="auto"/>
        <w:ind w:left="1440" w:hanging="1440"/>
        <w:contextualSpacing/>
        <w:jc w:val="both"/>
      </w:pPr>
    </w:p>
    <w:p w:rsidR="00D02EAE" w:rsidRDefault="00D02EAE" w:rsidP="00B95D84">
      <w:pPr>
        <w:spacing w:line="480" w:lineRule="auto"/>
        <w:ind w:left="1440" w:hanging="1440"/>
        <w:contextualSpacing/>
        <w:jc w:val="both"/>
        <w:rPr>
          <w:b/>
        </w:rPr>
      </w:pPr>
      <w:r>
        <w:rPr>
          <w:b/>
        </w:rPr>
        <w:t>Table 2. Imaging Studies</w:t>
      </w:r>
    </w:p>
    <w:tbl>
      <w:tblPr>
        <w:tblStyle w:val="TableGrid"/>
        <w:tblW w:w="9810" w:type="dxa"/>
        <w:tblInd w:w="18" w:type="dxa"/>
        <w:tblLook w:val="04A0" w:firstRow="1" w:lastRow="0" w:firstColumn="1" w:lastColumn="0" w:noHBand="0" w:noVBand="1"/>
      </w:tblPr>
      <w:tblGrid>
        <w:gridCol w:w="4860"/>
        <w:gridCol w:w="4950"/>
      </w:tblGrid>
      <w:tr w:rsidR="00CA65F8" w:rsidTr="00CA65F8">
        <w:tc>
          <w:tcPr>
            <w:tcW w:w="4860" w:type="dxa"/>
          </w:tcPr>
          <w:p w:rsidR="00CA65F8" w:rsidRPr="00CA65F8" w:rsidRDefault="00CA65F8" w:rsidP="00CA65F8">
            <w:pPr>
              <w:spacing w:line="480" w:lineRule="auto"/>
              <w:contextualSpacing/>
              <w:jc w:val="center"/>
              <w:rPr>
                <w:b/>
              </w:rPr>
            </w:pPr>
            <w:r>
              <w:rPr>
                <w:b/>
              </w:rPr>
              <w:t>Diagnostic Test</w:t>
            </w:r>
          </w:p>
        </w:tc>
        <w:tc>
          <w:tcPr>
            <w:tcW w:w="4950" w:type="dxa"/>
          </w:tcPr>
          <w:p w:rsidR="00CA65F8" w:rsidRPr="00CA65F8" w:rsidRDefault="00CA65F8" w:rsidP="00CA65F8">
            <w:pPr>
              <w:contextualSpacing/>
              <w:jc w:val="center"/>
              <w:rPr>
                <w:b/>
              </w:rPr>
            </w:pPr>
            <w:r>
              <w:rPr>
                <w:b/>
              </w:rPr>
              <w:t>Result</w:t>
            </w:r>
          </w:p>
        </w:tc>
      </w:tr>
      <w:tr w:rsidR="00CA65F8" w:rsidTr="00CA65F8">
        <w:tc>
          <w:tcPr>
            <w:tcW w:w="4860" w:type="dxa"/>
          </w:tcPr>
          <w:p w:rsidR="00D02EAE" w:rsidRPr="00FA5311" w:rsidRDefault="00FA5311" w:rsidP="00B95D84">
            <w:pPr>
              <w:spacing w:line="480" w:lineRule="auto"/>
              <w:contextualSpacing/>
              <w:jc w:val="both"/>
            </w:pPr>
            <w:r>
              <w:t>Electrocardiogram</w:t>
            </w:r>
          </w:p>
        </w:tc>
        <w:tc>
          <w:tcPr>
            <w:tcW w:w="4950" w:type="dxa"/>
          </w:tcPr>
          <w:p w:rsidR="00D02EAE" w:rsidRPr="00FA5311" w:rsidRDefault="00FA5311" w:rsidP="00BF028C">
            <w:pPr>
              <w:contextualSpacing/>
              <w:jc w:val="center"/>
            </w:pPr>
            <w:r w:rsidRPr="00FA5311">
              <w:t>Sinu</w:t>
            </w:r>
            <w:r w:rsidR="003E499C">
              <w:t>s tachycardia, heart rate of 126</w:t>
            </w:r>
            <w:r w:rsidRPr="00FA5311">
              <w:t>, otherwise normal EKG</w:t>
            </w:r>
          </w:p>
        </w:tc>
      </w:tr>
      <w:tr w:rsidR="00CA65F8" w:rsidRPr="00FA5311" w:rsidTr="00CA65F8">
        <w:tc>
          <w:tcPr>
            <w:tcW w:w="4860" w:type="dxa"/>
          </w:tcPr>
          <w:p w:rsidR="00D02EAE" w:rsidRPr="00FA5311" w:rsidRDefault="00FA5311" w:rsidP="00B95D84">
            <w:pPr>
              <w:spacing w:line="480" w:lineRule="auto"/>
              <w:contextualSpacing/>
              <w:jc w:val="both"/>
            </w:pPr>
            <w:r>
              <w:t>Chest x-ray PA/AP</w:t>
            </w:r>
          </w:p>
        </w:tc>
        <w:tc>
          <w:tcPr>
            <w:tcW w:w="4950" w:type="dxa"/>
          </w:tcPr>
          <w:p w:rsidR="00FA5311" w:rsidRDefault="00FB2F62" w:rsidP="00090684">
            <w:pPr>
              <w:pStyle w:val="ListParagraph"/>
              <w:numPr>
                <w:ilvl w:val="0"/>
                <w:numId w:val="2"/>
              </w:numPr>
            </w:pPr>
            <w:r>
              <w:t>No evidence of consolidation or pleural effusion.</w:t>
            </w:r>
          </w:p>
          <w:p w:rsidR="00FB2F62" w:rsidRDefault="00FB2F62" w:rsidP="00090684">
            <w:pPr>
              <w:pStyle w:val="ListParagraph"/>
              <w:numPr>
                <w:ilvl w:val="0"/>
                <w:numId w:val="2"/>
              </w:numPr>
            </w:pPr>
            <w:r>
              <w:t>Bilateral lower lobe atelectasis.</w:t>
            </w:r>
          </w:p>
          <w:p w:rsidR="00D02EAE" w:rsidRPr="00FA5311" w:rsidRDefault="00FA5311" w:rsidP="00FA5311">
            <w:pPr>
              <w:pStyle w:val="ListParagraph"/>
              <w:numPr>
                <w:ilvl w:val="0"/>
                <w:numId w:val="2"/>
              </w:numPr>
            </w:pPr>
            <w:r w:rsidRPr="00FA5311">
              <w:t>No cardiomegaly.</w:t>
            </w:r>
          </w:p>
        </w:tc>
      </w:tr>
      <w:tr w:rsidR="00CA65F8" w:rsidTr="00CA65F8">
        <w:tc>
          <w:tcPr>
            <w:tcW w:w="4860" w:type="dxa"/>
          </w:tcPr>
          <w:p w:rsidR="00D02EAE" w:rsidRPr="00FA5311" w:rsidRDefault="00874691" w:rsidP="00BA762D">
            <w:pPr>
              <w:contextualSpacing/>
            </w:pPr>
            <w:r>
              <w:t xml:space="preserve">Computed Tomography/Pulmonary Embolism </w:t>
            </w:r>
            <w:r>
              <w:lastRenderedPageBreak/>
              <w:t>Study</w:t>
            </w:r>
          </w:p>
        </w:tc>
        <w:tc>
          <w:tcPr>
            <w:tcW w:w="4950" w:type="dxa"/>
          </w:tcPr>
          <w:p w:rsidR="00D02EAE" w:rsidRPr="00FA5311" w:rsidRDefault="00874691" w:rsidP="00BF028C">
            <w:pPr>
              <w:jc w:val="center"/>
            </w:pPr>
            <w:r>
              <w:lastRenderedPageBreak/>
              <w:t>Negative</w:t>
            </w:r>
          </w:p>
        </w:tc>
      </w:tr>
      <w:tr w:rsidR="00836D90" w:rsidTr="00CA65F8">
        <w:tc>
          <w:tcPr>
            <w:tcW w:w="4860" w:type="dxa"/>
          </w:tcPr>
          <w:p w:rsidR="00836D90" w:rsidRDefault="00BA762D" w:rsidP="00BA762D">
            <w:pPr>
              <w:contextualSpacing/>
            </w:pPr>
            <w:r>
              <w:lastRenderedPageBreak/>
              <w:t xml:space="preserve">Computed </w:t>
            </w:r>
            <w:r w:rsidR="00836D90">
              <w:t>Tomography of Head without contrast</w:t>
            </w:r>
          </w:p>
        </w:tc>
        <w:tc>
          <w:tcPr>
            <w:tcW w:w="4950" w:type="dxa"/>
          </w:tcPr>
          <w:p w:rsidR="00836D90" w:rsidRDefault="00836D90" w:rsidP="00836D90">
            <w:pPr>
              <w:pStyle w:val="ListParagraph"/>
              <w:numPr>
                <w:ilvl w:val="0"/>
                <w:numId w:val="13"/>
              </w:numPr>
            </w:pPr>
            <w:r>
              <w:t>No evidence of</w:t>
            </w:r>
            <w:r w:rsidR="00872E84">
              <w:t xml:space="preserve"> acute</w:t>
            </w:r>
            <w:r>
              <w:t xml:space="preserve"> ischemia or hemorrhage.</w:t>
            </w:r>
          </w:p>
          <w:p w:rsidR="00836D90" w:rsidRDefault="00836D90" w:rsidP="00836D90">
            <w:pPr>
              <w:pStyle w:val="ListParagraph"/>
              <w:numPr>
                <w:ilvl w:val="0"/>
                <w:numId w:val="13"/>
              </w:numPr>
            </w:pPr>
            <w:r>
              <w:t>No abnormal findings</w:t>
            </w:r>
            <w:r w:rsidR="008A2A58">
              <w:t>.</w:t>
            </w:r>
            <w:r>
              <w:t xml:space="preserve"> </w:t>
            </w:r>
          </w:p>
        </w:tc>
      </w:tr>
      <w:tr w:rsidR="00AE092F" w:rsidTr="00836D90">
        <w:trPr>
          <w:trHeight w:val="593"/>
        </w:trPr>
        <w:tc>
          <w:tcPr>
            <w:tcW w:w="4860" w:type="dxa"/>
          </w:tcPr>
          <w:p w:rsidR="00AE092F" w:rsidRDefault="00AE092F" w:rsidP="00874691">
            <w:pPr>
              <w:contextualSpacing/>
              <w:jc w:val="both"/>
            </w:pPr>
            <w:r>
              <w:t>X-ray of Lumbosacral Spine A/P</w:t>
            </w:r>
          </w:p>
        </w:tc>
        <w:tc>
          <w:tcPr>
            <w:tcW w:w="4950" w:type="dxa"/>
          </w:tcPr>
          <w:p w:rsidR="00AE092F" w:rsidRDefault="00AE092F" w:rsidP="00BF028C">
            <w:pPr>
              <w:jc w:val="center"/>
            </w:pPr>
            <w:r>
              <w:t>No abnormal findings</w:t>
            </w:r>
          </w:p>
        </w:tc>
      </w:tr>
    </w:tbl>
    <w:p w:rsidR="00D37302" w:rsidRDefault="00D37302" w:rsidP="006F1295">
      <w:pPr>
        <w:spacing w:line="480" w:lineRule="auto"/>
        <w:contextualSpacing/>
        <w:rPr>
          <w:b/>
        </w:rPr>
      </w:pPr>
    </w:p>
    <w:p w:rsidR="00E73E05" w:rsidRDefault="00C50392" w:rsidP="00DE1136">
      <w:pPr>
        <w:spacing w:line="480" w:lineRule="auto"/>
        <w:contextualSpacing/>
        <w:jc w:val="center"/>
        <w:rPr>
          <w:b/>
        </w:rPr>
      </w:pPr>
      <w:r>
        <w:rPr>
          <w:b/>
        </w:rPr>
        <w:t>Differential Diagnosis</w:t>
      </w:r>
    </w:p>
    <w:p w:rsidR="00A73A3D" w:rsidRDefault="000C7C7D" w:rsidP="00A73A3D">
      <w:pPr>
        <w:spacing w:line="480" w:lineRule="auto"/>
        <w:contextualSpacing/>
      </w:pPr>
      <w:r>
        <w:tab/>
      </w:r>
      <w:r w:rsidR="000E734F">
        <w:t>The differential diagnoses for this patient are Guillain-Barre Syndrome</w:t>
      </w:r>
      <w:r w:rsidR="006B54F0">
        <w:t xml:space="preserve"> (GBS)</w:t>
      </w:r>
      <w:r w:rsidR="000E734F">
        <w:t>, myasthenia gravis</w:t>
      </w:r>
      <w:r w:rsidR="009C1ADB">
        <w:t xml:space="preserve"> crisis</w:t>
      </w:r>
      <w:r w:rsidR="000E734F">
        <w:t>,</w:t>
      </w:r>
      <w:r w:rsidR="002D5B5B">
        <w:t xml:space="preserve"> </w:t>
      </w:r>
      <w:r w:rsidR="00473EF8">
        <w:t>acute spinal cord compression</w:t>
      </w:r>
      <w:r w:rsidR="002D5B5B">
        <w:t xml:space="preserve">, and </w:t>
      </w:r>
      <w:r w:rsidR="00007B6E">
        <w:t>nutritional neuropathy</w:t>
      </w:r>
      <w:r w:rsidR="00473EF8">
        <w:t xml:space="preserve"> (Kiley, 2010). </w:t>
      </w:r>
      <w:r w:rsidR="00A73A3D">
        <w:t xml:space="preserve"> These disorders have some similarities in presentation and each should be considered when evaluating this patient. </w:t>
      </w:r>
      <w:r w:rsidR="00473EF8">
        <w:t xml:space="preserve">The history, physical, laboratory studies and imaging must be evaluated comprehensively. </w:t>
      </w:r>
    </w:p>
    <w:p w:rsidR="00473EF8" w:rsidRDefault="00473EF8" w:rsidP="00A73A3D">
      <w:pPr>
        <w:spacing w:line="480" w:lineRule="auto"/>
        <w:contextualSpacing/>
      </w:pPr>
      <w:r>
        <w:tab/>
        <w:t xml:space="preserve">Guillain-Barre </w:t>
      </w:r>
      <w:r w:rsidR="006B54F0">
        <w:t>S</w:t>
      </w:r>
      <w:r>
        <w:t xml:space="preserve">yndrome has a high degree of probability. </w:t>
      </w:r>
      <w:r w:rsidR="006B54F0">
        <w:t>The patient had an upper respiratory infection that preceded the onset of symptoms</w:t>
      </w:r>
      <w:r w:rsidR="00856BE6">
        <w:t>. Approximately 50% of GBS cases follow an upper respiratory infection within 14 days of infection (</w:t>
      </w:r>
      <w:r w:rsidR="00A93FB5">
        <w:t xml:space="preserve">Kiley, 2010; </w:t>
      </w:r>
      <w:r w:rsidR="00856BE6">
        <w:t xml:space="preserve">Meena, Khadilkar, &amp; Murthy, 2011). </w:t>
      </w:r>
      <w:r w:rsidR="00A456F2">
        <w:t>She presents with ascending bilateral</w:t>
      </w:r>
      <w:r w:rsidR="003106D5">
        <w:t xml:space="preserve"> upper and</w:t>
      </w:r>
      <w:r w:rsidR="00247405">
        <w:t xml:space="preserve"> lower extremity</w:t>
      </w:r>
      <w:r w:rsidR="00A456F2">
        <w:t xml:space="preserve"> weakness that is now affecting her re</w:t>
      </w:r>
      <w:r w:rsidR="003106D5">
        <w:t>spiratory status and has absent</w:t>
      </w:r>
      <w:r w:rsidR="00A456F2">
        <w:t xml:space="preserve"> deep tendon reflexes</w:t>
      </w:r>
      <w:r w:rsidR="00856BE6">
        <w:t xml:space="preserve"> </w:t>
      </w:r>
      <w:r w:rsidR="00A456F2">
        <w:t>which are classic clinical features of GBS</w:t>
      </w:r>
      <w:r w:rsidR="005E5D41">
        <w:t xml:space="preserve"> (</w:t>
      </w:r>
      <w:r w:rsidR="005E5D41" w:rsidRPr="004C77EA">
        <w:t>González-Suárez</w:t>
      </w:r>
      <w:r w:rsidR="005E5D41">
        <w:t xml:space="preserve">, Sanz-Gallego, </w:t>
      </w:r>
      <w:r w:rsidR="005E5D41" w:rsidRPr="000C75AD">
        <w:t>Rodríguez de Rivera</w:t>
      </w:r>
      <w:r w:rsidR="005E5D41">
        <w:t>, &amp; Arpa, 2013).</w:t>
      </w:r>
      <w:r w:rsidR="00247405">
        <w:t xml:space="preserve"> </w:t>
      </w:r>
      <w:r w:rsidR="00856BE6">
        <w:t>She has dysarthria, dysphagia, facial paralysis</w:t>
      </w:r>
      <w:r w:rsidR="00247405">
        <w:t>, and decreased sensation of the left side of</w:t>
      </w:r>
      <w:r w:rsidR="00597952">
        <w:t xml:space="preserve"> her</w:t>
      </w:r>
      <w:r w:rsidR="00247405">
        <w:t xml:space="preserve"> face suggesting cranial </w:t>
      </w:r>
      <w:r w:rsidR="00597952">
        <w:t>nerve dysfunction. These are also</w:t>
      </w:r>
      <w:r w:rsidR="00247405">
        <w:t xml:space="preserve"> clinical features of GBS except the unilateral facial weakness. Progression of GBS is usually rapid and symptoms reach their worst in two to four weeks. </w:t>
      </w:r>
      <w:r w:rsidR="00333DCD">
        <w:t xml:space="preserve">Her shortness of breath was progressive, but acutely worsened overnight </w:t>
      </w:r>
      <w:r w:rsidR="00D8476E">
        <w:t>which is likely related to the ascending feature of motor weakness with phreni</w:t>
      </w:r>
      <w:r w:rsidR="00A456F2">
        <w:t>c nerve involvement</w:t>
      </w:r>
      <w:r w:rsidR="00A93FB5">
        <w:t xml:space="preserve"> (Meena, Khadilkar, &amp; Murthy, 2011). </w:t>
      </w:r>
    </w:p>
    <w:p w:rsidR="00A834B3" w:rsidRDefault="00A93FB5" w:rsidP="00A73A3D">
      <w:pPr>
        <w:spacing w:line="480" w:lineRule="auto"/>
        <w:contextualSpacing/>
      </w:pPr>
      <w:r>
        <w:lastRenderedPageBreak/>
        <w:tab/>
        <w:t>Myasthenia gravis crisis has a</w:t>
      </w:r>
      <w:r w:rsidR="00E11C96">
        <w:t xml:space="preserve"> moderate degree of probability. The patient does not have a history of myasthenia gravis, but she</w:t>
      </w:r>
      <w:r w:rsidR="00FE09EA">
        <w:t xml:space="preserve"> presents with</w:t>
      </w:r>
      <w:r w:rsidR="00E11C96">
        <w:t xml:space="preserve"> muscular weakness causing respiratory failure with ptosis, diplopia, and dysphagia which are clinical</w:t>
      </w:r>
      <w:r w:rsidR="00597952">
        <w:t xml:space="preserve"> features of myasthenia crisis</w:t>
      </w:r>
      <w:r w:rsidR="00E11C96">
        <w:t xml:space="preserve"> (Aminoff &amp; Kerchner, 2013, p.1032). </w:t>
      </w:r>
      <w:r w:rsidR="00E4508E">
        <w:t>Myasthenia</w:t>
      </w:r>
      <w:r w:rsidR="00597952">
        <w:t xml:space="preserve"> gravis</w:t>
      </w:r>
      <w:r w:rsidR="00E4508E">
        <w:t xml:space="preserve"> is more progressive with fluctuating periods of weakness that improve with rest. Reflexes are not diminished or absent and sensation is also normal. </w:t>
      </w:r>
      <w:r w:rsidR="00A834B3">
        <w:t>The latter few characteristics make myasthenia gravis a less likely diagnosis in this patient solely based on history, physical and clinical presentation.</w:t>
      </w:r>
    </w:p>
    <w:p w:rsidR="00683264" w:rsidRDefault="00683264" w:rsidP="00A73A3D">
      <w:pPr>
        <w:spacing w:line="480" w:lineRule="auto"/>
        <w:contextualSpacing/>
      </w:pPr>
      <w:r>
        <w:tab/>
        <w:t>Acute spinal cord compression</w:t>
      </w:r>
      <w:r w:rsidR="00DE2D74">
        <w:t xml:space="preserve"> (SCC)</w:t>
      </w:r>
      <w:r>
        <w:t xml:space="preserve"> has a moderate to low degree of probability, but should be considered. </w:t>
      </w:r>
      <w:r w:rsidR="004A543A">
        <w:t xml:space="preserve">Acute </w:t>
      </w:r>
      <w:r w:rsidR="00DE2D74">
        <w:t xml:space="preserve">parathesias and </w:t>
      </w:r>
      <w:r w:rsidR="004A543A">
        <w:t xml:space="preserve">paralysis of lower </w:t>
      </w:r>
      <w:r w:rsidR="00DE2D74">
        <w:t xml:space="preserve">extremities with loss of reflexes are characteristic of SCC (Aminoff &amp; Kerchner, 2013, p. 1018). </w:t>
      </w:r>
      <w:r w:rsidR="00DF63BB">
        <w:t xml:space="preserve">Urinary retention and loss of bowel or bladder function are common too, but this patient has not experienced these symptoms. </w:t>
      </w:r>
      <w:r w:rsidR="00DE2D74">
        <w:t>The spinal cord injury would not explain the ascending progression, respiratory failure or facial motor and sensory deficits.</w:t>
      </w:r>
      <w:r w:rsidR="00F0090E">
        <w:t xml:space="preserve"> The radiographic image of the lower spine did not show any obvious deformity or disk displacement</w:t>
      </w:r>
      <w:r w:rsidR="00597952">
        <w:t xml:space="preserve">. </w:t>
      </w:r>
      <w:r w:rsidR="0048304A">
        <w:t xml:space="preserve">This combination </w:t>
      </w:r>
      <w:r w:rsidR="00597952">
        <w:t xml:space="preserve">of findings </w:t>
      </w:r>
      <w:r w:rsidR="00F0090E">
        <w:t>make</w:t>
      </w:r>
      <w:r w:rsidR="0048304A">
        <w:t>s</w:t>
      </w:r>
      <w:r w:rsidR="00DE2D74">
        <w:t xml:space="preserve"> SCC a less likely diagnosis. </w:t>
      </w:r>
    </w:p>
    <w:p w:rsidR="00A93FB5" w:rsidRPr="00152AF9" w:rsidRDefault="00427B00" w:rsidP="00A73A3D">
      <w:pPr>
        <w:spacing w:line="480" w:lineRule="auto"/>
        <w:contextualSpacing/>
      </w:pPr>
      <w:r>
        <w:tab/>
      </w:r>
      <w:r w:rsidR="0099413B">
        <w:t>Nutritional neuropathies</w:t>
      </w:r>
      <w:r w:rsidR="001A09E8">
        <w:t xml:space="preserve"> specifically cyanocobalamin (B</w:t>
      </w:r>
      <w:r w:rsidR="0099413B">
        <w:t xml:space="preserve"> </w:t>
      </w:r>
      <w:r w:rsidR="001A09E8">
        <w:t>12)</w:t>
      </w:r>
      <w:r w:rsidR="0099413B">
        <w:t>, pyridoxine (B 6)</w:t>
      </w:r>
      <w:r w:rsidR="001A09E8">
        <w:t xml:space="preserve"> and hypophosphatemia have a low degree of probability, but should be considered. </w:t>
      </w:r>
      <w:r w:rsidR="00A33DE7">
        <w:t xml:space="preserve">Hypophosphatemia can produce symptoms of ataxia, peripheral neuropathy, muscle weakness, and parathesias of </w:t>
      </w:r>
      <w:r w:rsidR="003F43B9">
        <w:t xml:space="preserve">the </w:t>
      </w:r>
      <w:r w:rsidR="00A33DE7">
        <w:t>face (Chawla &amp; Lorenzo, 2013). This</w:t>
      </w:r>
      <w:r w:rsidR="0048304A">
        <w:t xml:space="preserve"> condition is </w:t>
      </w:r>
      <w:r w:rsidR="00A33DE7">
        <w:t>associated with patients receiving total parenteral nutrition</w:t>
      </w:r>
      <w:r w:rsidR="004120BE">
        <w:t xml:space="preserve"> (TPN)</w:t>
      </w:r>
      <w:r w:rsidR="00A33DE7">
        <w:t>. Cyanocobalamin</w:t>
      </w:r>
      <w:r w:rsidR="0099413B">
        <w:t xml:space="preserve"> and B 6</w:t>
      </w:r>
      <w:r w:rsidR="00A33DE7">
        <w:t xml:space="preserve"> </w:t>
      </w:r>
      <w:r w:rsidR="0099413B">
        <w:t>deficiencies</w:t>
      </w:r>
      <w:r w:rsidR="00A33DE7">
        <w:t xml:space="preserve"> </w:t>
      </w:r>
      <w:r w:rsidR="00C360E2">
        <w:t>can produce neuropathies, muscle weaknes</w:t>
      </w:r>
      <w:r w:rsidR="0099413B">
        <w:t>s and difficulty walking</w:t>
      </w:r>
      <w:r w:rsidR="00C360E2">
        <w:t>. This condition will continue to worsen and</w:t>
      </w:r>
      <w:r w:rsidR="008E5334">
        <w:t xml:space="preserve"> may be irreversible if un</w:t>
      </w:r>
      <w:r w:rsidR="0099413B">
        <w:t xml:space="preserve">treated. Hypophosphatemia, </w:t>
      </w:r>
      <w:r w:rsidR="00C360E2">
        <w:t>B</w:t>
      </w:r>
      <w:r w:rsidR="0099413B">
        <w:t xml:space="preserve"> </w:t>
      </w:r>
      <w:r w:rsidR="00C360E2">
        <w:t>12</w:t>
      </w:r>
      <w:r w:rsidR="008E5334">
        <w:t>,</w:t>
      </w:r>
      <w:r w:rsidR="0099413B">
        <w:t xml:space="preserve"> and B 6 deficiencies</w:t>
      </w:r>
      <w:r w:rsidR="004120BE">
        <w:t xml:space="preserve"> are not associated with respiratory failure or dysphagia making them</w:t>
      </w:r>
      <w:r w:rsidR="00C360E2">
        <w:t xml:space="preserve"> less likely causes of her syndrome</w:t>
      </w:r>
      <w:r w:rsidR="004120BE">
        <w:t>. In addition, she is not receiving TPN and h</w:t>
      </w:r>
      <w:r w:rsidR="008E5334">
        <w:t xml:space="preserve">er phosphorus level is normal </w:t>
      </w:r>
      <w:r w:rsidR="004120BE">
        <w:t xml:space="preserve">on admission. </w:t>
      </w:r>
    </w:p>
    <w:p w:rsidR="0076387C" w:rsidRDefault="00393B66" w:rsidP="00056987">
      <w:pPr>
        <w:spacing w:line="480" w:lineRule="auto"/>
        <w:contextualSpacing/>
        <w:jc w:val="center"/>
        <w:rPr>
          <w:b/>
        </w:rPr>
      </w:pPr>
      <w:r>
        <w:rPr>
          <w:b/>
        </w:rPr>
        <w:lastRenderedPageBreak/>
        <w:t xml:space="preserve">Further </w:t>
      </w:r>
      <w:r w:rsidR="00E73E05">
        <w:rPr>
          <w:b/>
        </w:rPr>
        <w:t>Diagnostic Testing</w:t>
      </w:r>
      <w:r w:rsidR="00836D90">
        <w:rPr>
          <w:b/>
        </w:rPr>
        <w:t xml:space="preserve"> </w:t>
      </w:r>
    </w:p>
    <w:p w:rsidR="00B877DF" w:rsidRDefault="0008494D" w:rsidP="00EF14F0">
      <w:pPr>
        <w:spacing w:line="480" w:lineRule="auto"/>
        <w:contextualSpacing/>
      </w:pPr>
      <w:r>
        <w:rPr>
          <w:b/>
        </w:rPr>
        <w:tab/>
      </w:r>
      <w:r w:rsidR="00311B0B">
        <w:t xml:space="preserve"> </w:t>
      </w:r>
      <w:r w:rsidR="0011464A">
        <w:t xml:space="preserve">Further diagnostic testing is useful to determine the most likely diagnosis and make a treatment plan. </w:t>
      </w:r>
      <w:r w:rsidR="00DF6C5B">
        <w:t>A sample of cerebral spinal fluid (CSF) sent to lab for culture and cytology should be obtained via lumbar puncture. Increased protein level with a normal cell count</w:t>
      </w:r>
      <w:r w:rsidR="001E0A19">
        <w:t xml:space="preserve"> is characteristic of GBS in the</w:t>
      </w:r>
      <w:r w:rsidR="00DF6C5B">
        <w:t xml:space="preserve"> initial phase (Andary, 2012; Meena, Khadilkar, &amp; Murthy, 2011). </w:t>
      </w:r>
      <w:r w:rsidR="005D773C">
        <w:t>Since</w:t>
      </w:r>
      <w:r w:rsidR="00DF6C5B">
        <w:t xml:space="preserve"> GBS is suspected</w:t>
      </w:r>
      <w:r w:rsidR="005D773C">
        <w:t>,</w:t>
      </w:r>
      <w:r w:rsidR="00DF6C5B">
        <w:t xml:space="preserve"> a lumbar puncture should be performed</w:t>
      </w:r>
      <w:r w:rsidR="00830C36">
        <w:t xml:space="preserve">. The </w:t>
      </w:r>
      <w:r w:rsidR="001C0D13">
        <w:t>high protein in the CSF is</w:t>
      </w:r>
      <w:r w:rsidR="001E0A19">
        <w:t xml:space="preserve"> </w:t>
      </w:r>
      <w:r w:rsidR="001C0D13">
        <w:t>related to</w:t>
      </w:r>
      <w:r w:rsidR="00BF1041">
        <w:t xml:space="preserve"> inflammation </w:t>
      </w:r>
      <w:r w:rsidR="005D773C">
        <w:t>of</w:t>
      </w:r>
      <w:r w:rsidR="001E0A19">
        <w:t xml:space="preserve"> spinal</w:t>
      </w:r>
      <w:r w:rsidR="005D773C">
        <w:t xml:space="preserve"> nerve roots</w:t>
      </w:r>
      <w:r w:rsidR="00830C36">
        <w:t>. Be suspicious for</w:t>
      </w:r>
      <w:r w:rsidR="00DF6C5B">
        <w:t xml:space="preserve"> an underlying </w:t>
      </w:r>
      <w:r w:rsidR="00830C36">
        <w:t>bacterial or viral infection when the cell is elevated.</w:t>
      </w:r>
      <w:r w:rsidR="00BF1041">
        <w:t xml:space="preserve"> </w:t>
      </w:r>
    </w:p>
    <w:p w:rsidR="000D14C2" w:rsidRDefault="000D14C2" w:rsidP="00EF14F0">
      <w:pPr>
        <w:spacing w:line="480" w:lineRule="auto"/>
        <w:contextualSpacing/>
      </w:pPr>
      <w:r>
        <w:tab/>
      </w:r>
      <w:r w:rsidR="00A2615F">
        <w:t>An electromyography (EMG) is ordered and is</w:t>
      </w:r>
      <w:r w:rsidR="00441E2C">
        <w:t xml:space="preserve"> also useful in determining axonal demyelination, which is diagnostic of GBS (Meena, Khadilkar, &amp; Murthy, 2011). </w:t>
      </w:r>
      <w:r w:rsidR="00B85E3E">
        <w:t>This study</w:t>
      </w:r>
      <w:r w:rsidR="002405C1">
        <w:t xml:space="preserve"> helps support the clinical </w:t>
      </w:r>
      <w:r w:rsidR="00295CCB">
        <w:t xml:space="preserve">presentation for diagnosis of </w:t>
      </w:r>
      <w:r w:rsidR="002405C1">
        <w:t>GBS. In patients with GBS</w:t>
      </w:r>
      <w:r w:rsidR="005D773C">
        <w:t>,</w:t>
      </w:r>
      <w:r w:rsidR="002405C1">
        <w:t xml:space="preserve"> the conduction times are significantly decreased with prolonged</w:t>
      </w:r>
      <w:r w:rsidR="005D773C">
        <w:t xml:space="preserve"> or absent</w:t>
      </w:r>
      <w:r w:rsidR="002405C1">
        <w:t xml:space="preserve"> F-waves</w:t>
      </w:r>
      <w:r w:rsidR="005D773C">
        <w:t>.</w:t>
      </w:r>
      <w:r w:rsidR="00BB3803">
        <w:t xml:space="preserve"> Sural sparing</w:t>
      </w:r>
      <w:r w:rsidR="00143766">
        <w:t xml:space="preserve"> is present in GBS,</w:t>
      </w:r>
      <w:r w:rsidR="00BB3803">
        <w:t xml:space="preserve"> which is normal sural sensory nerve response with abnormal sensory nerve results in the arms.</w:t>
      </w:r>
      <w:r w:rsidR="005D773C">
        <w:t xml:space="preserve"> If the EMG study is normal, the cause of the diffuse muscle weakness is less likely GBS.</w:t>
      </w:r>
    </w:p>
    <w:p w:rsidR="00A9118C" w:rsidRDefault="00BF1041" w:rsidP="00EF14F0">
      <w:pPr>
        <w:spacing w:line="480" w:lineRule="auto"/>
        <w:contextualSpacing/>
      </w:pPr>
      <w:r>
        <w:tab/>
        <w:t xml:space="preserve">A magnetic resonance imaging (MRI) of the </w:t>
      </w:r>
      <w:r w:rsidR="0057480C">
        <w:t>spi</w:t>
      </w:r>
      <w:r w:rsidR="00A2615F">
        <w:t xml:space="preserve">ne with and without contrast </w:t>
      </w:r>
      <w:r w:rsidR="001B1210">
        <w:t>would be valuable</w:t>
      </w:r>
      <w:r w:rsidR="00A2615F">
        <w:t xml:space="preserve"> becaus</w:t>
      </w:r>
      <w:r w:rsidR="00C53723">
        <w:t>e anterior nerve root enhancement with gadolinium is strongly suggestive of GBS (Andary, 2012). The MRI can</w:t>
      </w:r>
      <w:r w:rsidR="005A7150">
        <w:t xml:space="preserve"> also</w:t>
      </w:r>
      <w:r w:rsidR="00C53723">
        <w:t xml:space="preserve"> evaluate for potential causes</w:t>
      </w:r>
      <w:r w:rsidR="00A2615F">
        <w:t xml:space="preserve"> of SCC or an underlying cause</w:t>
      </w:r>
      <w:r w:rsidR="00C53723">
        <w:t xml:space="preserve"> of the lower extremity motor and sensory deficits.</w:t>
      </w:r>
      <w:r w:rsidR="00FD5ADF">
        <w:t xml:space="preserve"> </w:t>
      </w:r>
      <w:r w:rsidR="00546843">
        <w:t>The MRI cannot be obtained until the patient is stable hemodynamically</w:t>
      </w:r>
      <w:r w:rsidR="00A9118C">
        <w:t xml:space="preserve"> due to inability to travel and the length of the test. </w:t>
      </w:r>
    </w:p>
    <w:p w:rsidR="00FD5ADF" w:rsidRPr="009571C6" w:rsidRDefault="00A9118C" w:rsidP="00EF14F0">
      <w:pPr>
        <w:spacing w:line="480" w:lineRule="auto"/>
        <w:contextualSpacing/>
      </w:pPr>
      <w:r>
        <w:tab/>
      </w:r>
      <w:r w:rsidR="00883369">
        <w:t xml:space="preserve">Complete blood count and blood chemistry are already finalized. In addition to these laboratory studies, </w:t>
      </w:r>
      <w:r>
        <w:t>vitamin B12</w:t>
      </w:r>
      <w:r w:rsidR="0099413B">
        <w:t xml:space="preserve"> </w:t>
      </w:r>
      <w:r w:rsidR="00883369">
        <w:t>and B6 levels</w:t>
      </w:r>
      <w:r w:rsidR="0099413B">
        <w:t xml:space="preserve"> are ordered</w:t>
      </w:r>
      <w:r w:rsidR="00883369">
        <w:t xml:space="preserve">. As previously explained, deficiency of these vitamins can cause neuropathies, weakness and gait disturbances. These deficiencies are </w:t>
      </w:r>
      <w:r w:rsidR="00883369">
        <w:lastRenderedPageBreak/>
        <w:t>easily treatable, but</w:t>
      </w:r>
      <w:r w:rsidR="00F532A5">
        <w:t xml:space="preserve"> can be debilitating if missed.</w:t>
      </w:r>
      <w:r w:rsidR="00883369">
        <w:t xml:space="preserve"> </w:t>
      </w:r>
      <w:r w:rsidR="00D55E00">
        <w:t xml:space="preserve">Blood and urine cultures </w:t>
      </w:r>
      <w:r w:rsidR="00D31477">
        <w:t>are ordered to identify underlying bacteremia</w:t>
      </w:r>
      <w:r w:rsidR="00D55E00">
        <w:t xml:space="preserve"> that could be contributing to her </w:t>
      </w:r>
      <w:r w:rsidR="00D31477">
        <w:t>symptoms</w:t>
      </w:r>
      <w:r w:rsidR="00D55E00">
        <w:t xml:space="preserve">. </w:t>
      </w:r>
    </w:p>
    <w:p w:rsidR="001211C1" w:rsidRDefault="001211C1" w:rsidP="001211C1">
      <w:pPr>
        <w:spacing w:line="480" w:lineRule="auto"/>
        <w:contextualSpacing/>
        <w:jc w:val="center"/>
        <w:rPr>
          <w:b/>
        </w:rPr>
      </w:pPr>
      <w:r>
        <w:rPr>
          <w:b/>
        </w:rPr>
        <w:t>Plan</w:t>
      </w:r>
    </w:p>
    <w:p w:rsidR="00D12E53" w:rsidRDefault="006F1295" w:rsidP="00B877DF">
      <w:pPr>
        <w:spacing w:line="480" w:lineRule="auto"/>
        <w:contextualSpacing/>
      </w:pPr>
      <w:r>
        <w:rPr>
          <w:b/>
        </w:rPr>
        <w:tab/>
      </w:r>
      <w:r>
        <w:t>The prioritized plan for this patient is to admit her to the MICU and attempt to stabilize her airway, heart rate and blood pressure.</w:t>
      </w:r>
      <w:r w:rsidR="006E3651">
        <w:t xml:space="preserve"> Her full code status is confirmed with the husband. She has no advance directives for medical health care.</w:t>
      </w:r>
      <w:r w:rsidR="00874995">
        <w:t xml:space="preserve"> An admission height, weight and set of vital signs are ordered now. </w:t>
      </w:r>
      <w:r w:rsidR="00835EE3">
        <w:t>She is in</w:t>
      </w:r>
      <w:r>
        <w:t xml:space="preserve"> hypo</w:t>
      </w:r>
      <w:r w:rsidR="00C85085">
        <w:t>xemic respiratory failure requiring mechanical ventilation and is intubated now based on her PO2 and physical assessment.</w:t>
      </w:r>
      <w:r w:rsidR="00835EE3">
        <w:t xml:space="preserve"> Etomidate 0.3 </w:t>
      </w:r>
      <w:r w:rsidR="00A35E7A">
        <w:t>milligrams (mg)</w:t>
      </w:r>
      <w:r w:rsidR="00835EE3">
        <w:t xml:space="preserve"> per </w:t>
      </w:r>
      <w:r w:rsidR="00874995">
        <w:t>kilogram</w:t>
      </w:r>
      <w:r w:rsidR="00A35E7A">
        <w:t xml:space="preserve"> (kg)</w:t>
      </w:r>
      <w:r w:rsidR="00874995">
        <w:t xml:space="preserve"> for sedation is given prior to intubation. </w:t>
      </w:r>
      <w:r w:rsidR="00C85085">
        <w:t xml:space="preserve">Her initial ventilator mode is assist control with settings of FIO2 100% with a </w:t>
      </w:r>
      <w:r w:rsidR="00A35E7A">
        <w:t xml:space="preserve">tidal volume of six mg/kg per </w:t>
      </w:r>
      <w:r w:rsidR="00C85085">
        <w:t>minute, respiratory rate of twelve, 12 of positive end expiratory pressure</w:t>
      </w:r>
      <w:r w:rsidR="007320E5">
        <w:t xml:space="preserve"> (PEEP)</w:t>
      </w:r>
      <w:r w:rsidR="00C85085">
        <w:t>, and ten of pressure support.</w:t>
      </w:r>
      <w:r w:rsidR="00E74433">
        <w:t xml:space="preserve"> Her vital signs are ordered every one hour, but until stable they are measured a</w:t>
      </w:r>
      <w:r w:rsidR="00976ADC">
        <w:t xml:space="preserve">t least every five minutes. </w:t>
      </w:r>
    </w:p>
    <w:p w:rsidR="00416AF6" w:rsidRDefault="00BF59ED" w:rsidP="00D12E53">
      <w:pPr>
        <w:spacing w:line="480" w:lineRule="auto"/>
        <w:ind w:firstLine="720"/>
        <w:contextualSpacing/>
      </w:pPr>
      <w:r>
        <w:t>Two 18 gauge peripheral intravenous (IV) lines are obtained.</w:t>
      </w:r>
      <w:r w:rsidR="00976ADC">
        <w:t xml:space="preserve"> One liter of 0.9% </w:t>
      </w:r>
      <w:r w:rsidR="00624601">
        <w:t>sodium chloride is ordered</w:t>
      </w:r>
      <w:r>
        <w:t xml:space="preserve"> now wide open. Response to fluid bolus must be reassessed during and after the bolus to determine the need for additional fluid. She is likely dehydrated from </w:t>
      </w:r>
      <w:r w:rsidR="00545323">
        <w:t>her dysphagia</w:t>
      </w:r>
      <w:r w:rsidR="00FA5F48">
        <w:t>. Dehydration is manifested by the slight elevation in creatinine,</w:t>
      </w:r>
      <w:r w:rsidR="00A35E7A">
        <w:t xml:space="preserve"> dry mucous membranes,</w:t>
      </w:r>
      <w:r w:rsidR="00FA5F48">
        <w:t xml:space="preserve"> blood pressure and heart rate</w:t>
      </w:r>
      <w:r w:rsidR="00416AF6">
        <w:t>.</w:t>
      </w:r>
      <w:r w:rsidR="005113A5">
        <w:t xml:space="preserve"> Autonomic nerve dysfunction occurs with GBS and could also be a contributing factor to her hypotension and tachyc</w:t>
      </w:r>
      <w:r w:rsidR="00AC4D19">
        <w:t>ardia (Meena, Khadilkar, &amp; Murthy, 2011). Volume expansion, limiting narcotics, avoiding diuretics and holding home anti-hypertensive medications is the initial approach.</w:t>
      </w:r>
      <w:r w:rsidR="00416AF6">
        <w:t xml:space="preserve"> If the blood pressure remains low, an additional fluid bolus is given and then maintenance fluids are ordered at</w:t>
      </w:r>
      <w:r w:rsidR="00624601">
        <w:t xml:space="preserve"> a</w:t>
      </w:r>
      <w:r w:rsidR="00416AF6">
        <w:t xml:space="preserve"> rate determined by the patients</w:t>
      </w:r>
      <w:r w:rsidR="00783DDC">
        <w:t>’</w:t>
      </w:r>
      <w:r w:rsidR="00416AF6">
        <w:t xml:space="preserve"> fluid status at that time.</w:t>
      </w:r>
      <w:r w:rsidR="00783DDC">
        <w:t xml:space="preserve"> For refractory hypotension despite fluid resuscitation a continuous Levophed drip may be initiated at eight micrograms</w:t>
      </w:r>
      <w:r w:rsidR="00C46C58">
        <w:t xml:space="preserve"> (mcg)</w:t>
      </w:r>
      <w:r w:rsidR="003A3B2F">
        <w:t xml:space="preserve"> per kg</w:t>
      </w:r>
      <w:r w:rsidR="00783DDC">
        <w:t xml:space="preserve"> per minute (Lexi-Comp, 2013).  </w:t>
      </w:r>
    </w:p>
    <w:p w:rsidR="00783DDC" w:rsidRDefault="00783DDC" w:rsidP="00B877DF">
      <w:pPr>
        <w:spacing w:line="480" w:lineRule="auto"/>
        <w:contextualSpacing/>
      </w:pPr>
      <w:r>
        <w:lastRenderedPageBreak/>
        <w:tab/>
      </w:r>
      <w:r w:rsidR="005113A5">
        <w:t xml:space="preserve">The patient’s CSF is obtained and it </w:t>
      </w:r>
      <w:r w:rsidR="00E900C7">
        <w:t>shows no pleocytosis with an elevated protein level congruent with GBS.</w:t>
      </w:r>
      <w:r w:rsidR="007C52AD">
        <w:t xml:space="preserve"> The patients work-up continues, but she is treated for GBS until proven otherwise.</w:t>
      </w:r>
      <w:r w:rsidR="00E900C7">
        <w:t xml:space="preserve"> Pathology is consulted for</w:t>
      </w:r>
      <w:r w:rsidR="00737463">
        <w:t xml:space="preserve"> evaluation and treatment</w:t>
      </w:r>
      <w:r w:rsidR="00E900C7">
        <w:t xml:space="preserve"> initiation of plasmapheresis</w:t>
      </w:r>
      <w:r w:rsidR="00737463">
        <w:t xml:space="preserve"> for likely</w:t>
      </w:r>
      <w:r w:rsidR="001A7446">
        <w:t xml:space="preserve"> rapidly progressive</w:t>
      </w:r>
      <w:r w:rsidR="00737463">
        <w:t xml:space="preserve"> GBS. </w:t>
      </w:r>
      <w:r w:rsidR="007C52AD">
        <w:t>Plasma exchange is one of the standard treatments for GBS</w:t>
      </w:r>
      <w:r w:rsidR="00C668DD">
        <w:t xml:space="preserve"> in addition to support care</w:t>
      </w:r>
      <w:r w:rsidR="003B5377">
        <w:t xml:space="preserve"> (</w:t>
      </w:r>
      <w:r w:rsidR="00120E2C">
        <w:t>Aminoff &amp; Kerchner, 2013; K</w:t>
      </w:r>
      <w:r w:rsidR="00594C9B">
        <w:t xml:space="preserve">iley, 2011; </w:t>
      </w:r>
      <w:r w:rsidR="003B5377">
        <w:t>Meena, Khadilkar, &amp; Murthy, 2011).</w:t>
      </w:r>
      <w:r w:rsidR="00DC7E7E">
        <w:t xml:space="preserve"> </w:t>
      </w:r>
      <w:r w:rsidR="00C668DD">
        <w:t xml:space="preserve">There is a positive correlation with early initiation of plasmapheresis, quicker recovery times, and decreased mortality. </w:t>
      </w:r>
      <w:r w:rsidR="003B5377">
        <w:t xml:space="preserve">Patients who receive plasmapheresis also had less severe symptoms and less days of required mechanical ventilation. </w:t>
      </w:r>
      <w:r w:rsidR="00120E2C">
        <w:t>Usually exchange occurs four to seven times a</w:t>
      </w:r>
      <w:r w:rsidR="008E63A0">
        <w:t xml:space="preserve">t intervals of every other day (Kiley, 2011). </w:t>
      </w:r>
    </w:p>
    <w:p w:rsidR="004F701C" w:rsidRDefault="003911A1" w:rsidP="00B877DF">
      <w:pPr>
        <w:spacing w:line="480" w:lineRule="auto"/>
        <w:contextualSpacing/>
      </w:pPr>
      <w:r>
        <w:tab/>
        <w:t>A nasal gastric (NG) tube is placed at this time for gastric decompression and hooked up to continuous suction to de</w:t>
      </w:r>
      <w:r w:rsidR="004454AC">
        <w:t>crease risk of aspiration (Meena, Khadilkar, &amp; Murthy, 2011).</w:t>
      </w:r>
      <w:r w:rsidR="008E63A0">
        <w:t xml:space="preserve"> The NG tube will also be useful</w:t>
      </w:r>
      <w:r>
        <w:t xml:space="preserve"> for medication and enteral tube feed administration</w:t>
      </w:r>
      <w:r w:rsidR="004454AC">
        <w:t xml:space="preserve"> as soon as the patient is able to tolerate. </w:t>
      </w:r>
      <w:r w:rsidR="008A1953">
        <w:t xml:space="preserve">For pain control </w:t>
      </w:r>
      <w:r w:rsidR="00C46C58">
        <w:t>Fentanyl 50 mcg IV eve</w:t>
      </w:r>
      <w:r w:rsidR="008A1953">
        <w:t>ry 30 minutes as needed</w:t>
      </w:r>
      <w:r w:rsidR="00C46C58">
        <w:t xml:space="preserve"> is ordered (Lexi-Comp, 2013). This is used for initial pain control</w:t>
      </w:r>
      <w:r w:rsidR="008A1953">
        <w:t xml:space="preserve"> because of the</w:t>
      </w:r>
      <w:r w:rsidR="001B4700">
        <w:t xml:space="preserve"> short half-life properties and</w:t>
      </w:r>
      <w:r w:rsidR="008A1953">
        <w:t xml:space="preserve"> in bolus form</w:t>
      </w:r>
      <w:r w:rsidR="001B4700">
        <w:t xml:space="preserve"> </w:t>
      </w:r>
      <w:r w:rsidR="00C46C58">
        <w:t xml:space="preserve">instead of a continuous drip </w:t>
      </w:r>
      <w:r w:rsidR="001B4700">
        <w:t xml:space="preserve">until </w:t>
      </w:r>
      <w:r w:rsidR="00821E3A">
        <w:t xml:space="preserve">patient needs are assessed. </w:t>
      </w:r>
      <w:r w:rsidR="00EF4E1E">
        <w:t>Heparin 5000 units subcutaneous every eight hours for deep vein thrombosis prophylaxis</w:t>
      </w:r>
      <w:r w:rsidR="00120E2C">
        <w:t xml:space="preserve"> (DVT)</w:t>
      </w:r>
      <w:r w:rsidR="008A1953">
        <w:t xml:space="preserve"> is ordered</w:t>
      </w:r>
      <w:r w:rsidR="00EF4E1E">
        <w:t xml:space="preserve"> (Lexi-Comp, 2013). The patient is immobile and is</w:t>
      </w:r>
      <w:r w:rsidR="008A1953">
        <w:t xml:space="preserve"> at a</w:t>
      </w:r>
      <w:r w:rsidR="00EF4E1E">
        <w:t xml:space="preserve"> high risk for thrombosis. </w:t>
      </w:r>
      <w:r w:rsidR="008A1953">
        <w:t>The patient is started on their home</w:t>
      </w:r>
      <w:r w:rsidR="004472B0">
        <w:t xml:space="preserve"> Protonix</w:t>
      </w:r>
      <w:r w:rsidR="005E273E">
        <w:t>, but an</w:t>
      </w:r>
      <w:r w:rsidR="008A1953">
        <w:t xml:space="preserve"> extra dose is given</w:t>
      </w:r>
      <w:r w:rsidR="005E273E">
        <w:t xml:space="preserve"> daily</w:t>
      </w:r>
      <w:r w:rsidR="008A1953">
        <w:t xml:space="preserve"> for total of</w:t>
      </w:r>
      <w:r w:rsidR="004472B0">
        <w:t xml:space="preserve"> 40 mg IV</w:t>
      </w:r>
      <w:r w:rsidR="008A1953">
        <w:t xml:space="preserve"> twice</w:t>
      </w:r>
      <w:r w:rsidR="004472B0">
        <w:t xml:space="preserve"> daily</w:t>
      </w:r>
      <w:r w:rsidR="008A1953">
        <w:t xml:space="preserve"> for gastrointestinal prophylaxis. </w:t>
      </w:r>
      <w:r w:rsidR="004472B0">
        <w:t>Peridex 0.12% solution 15 milliliters (ml</w:t>
      </w:r>
      <w:r w:rsidR="008A1953">
        <w:t>) oral cleanse is ordered</w:t>
      </w:r>
      <w:r w:rsidR="004472B0">
        <w:t xml:space="preserve"> oral bacterial growth prevention. </w:t>
      </w:r>
    </w:p>
    <w:p w:rsidR="00120E2C" w:rsidRDefault="004F701C" w:rsidP="00B877DF">
      <w:pPr>
        <w:spacing w:line="480" w:lineRule="auto"/>
        <w:contextualSpacing/>
      </w:pPr>
      <w:r>
        <w:tab/>
        <w:t>Patient</w:t>
      </w:r>
      <w:r w:rsidR="00C17ABD">
        <w:t>s</w:t>
      </w:r>
      <w:r>
        <w:t xml:space="preserve"> with GBS are at high risk for syndrome of inappropriate anti-diuretic hormone (Meena, </w:t>
      </w:r>
      <w:r w:rsidR="004472B0">
        <w:t xml:space="preserve"> </w:t>
      </w:r>
      <w:r>
        <w:t xml:space="preserve">Khadilkar, &amp; Murthy, 2011). Serum chemistry panel is ordered every four hours to monitor sodium and other electrolytes closely. With fluid resuscitation and the fragile state of the </w:t>
      </w:r>
      <w:r>
        <w:lastRenderedPageBreak/>
        <w:t>patient, electrolyte abnormalities are common.</w:t>
      </w:r>
      <w:r w:rsidR="004E3EF4">
        <w:t xml:space="preserve"> If serum chemistry is stable, t</w:t>
      </w:r>
      <w:r w:rsidR="00C17ABD">
        <w:t>he frequency may be decreased</w:t>
      </w:r>
      <w:r w:rsidR="004E3EF4">
        <w:t xml:space="preserve">. </w:t>
      </w:r>
    </w:p>
    <w:p w:rsidR="00846303" w:rsidRDefault="00120E2C" w:rsidP="00B877DF">
      <w:pPr>
        <w:spacing w:line="480" w:lineRule="auto"/>
        <w:contextualSpacing/>
      </w:pPr>
      <w:r>
        <w:tab/>
        <w:t>The patient is at risk for DVT’s and pressure ulcers due to immobility and m</w:t>
      </w:r>
      <w:r w:rsidR="008E1CAA">
        <w:t>alnutrition evidenced by her extremely low pre</w:t>
      </w:r>
      <w:r>
        <w:t>albumin. Turn every two hours is ordered to prevent skin breakdown and sequential compression devices are ordered in addition to Heparin to prevent DVT’s (Meena, Khadilkar, &amp; Murthy, 2011).</w:t>
      </w:r>
      <w:r w:rsidR="001F46C8">
        <w:t xml:space="preserve"> The diet order is nothing by mouth while on the ventilator and until a swallow evaluation can be performed. </w:t>
      </w:r>
      <w:r w:rsidR="0075609B">
        <w:t xml:space="preserve">Neurological checks are ordered every one hour times four and then every two hours thereafter to be completed by nursing. This is to assess for change in mental or neuromuscular status. </w:t>
      </w:r>
      <w:r w:rsidR="000F2308">
        <w:t xml:space="preserve">Physical and occupational therapy are consulted for range of motion needs and ongoing assistance with increasing activity when stable. </w:t>
      </w:r>
      <w:r w:rsidR="002977C4">
        <w:t>Colace 100 mg liquid via NG tube twice daily and Senna 8.6 mg 1 tab via NG tube twice daily are ordered to promote regular bowel movements (Lexi-Comp, 2013). She is immobile, possibly receiving pain medication and at risk for an ileus so a bowel regimen is important.</w:t>
      </w:r>
      <w:r w:rsidR="00D12E53">
        <w:t xml:space="preserve"> An indwelling foley catheter is placed at this time to monitor kidney perfusion and function as well as response to fluids. Intake and output is monitored every two hours.  </w:t>
      </w:r>
      <w:r w:rsidR="002977C4">
        <w:t xml:space="preserve">  </w:t>
      </w:r>
    </w:p>
    <w:p w:rsidR="003911A1" w:rsidRDefault="00846303" w:rsidP="00846303">
      <w:pPr>
        <w:spacing w:line="480" w:lineRule="auto"/>
        <w:contextualSpacing/>
        <w:jc w:val="center"/>
        <w:rPr>
          <w:b/>
        </w:rPr>
      </w:pPr>
      <w:r>
        <w:rPr>
          <w:b/>
        </w:rPr>
        <w:t>Health Promotion Plan</w:t>
      </w:r>
    </w:p>
    <w:p w:rsidR="00FB79A7" w:rsidRDefault="00846303" w:rsidP="00846303">
      <w:pPr>
        <w:spacing w:line="480" w:lineRule="auto"/>
        <w:contextualSpacing/>
      </w:pPr>
      <w:r>
        <w:rPr>
          <w:b/>
        </w:rPr>
        <w:tab/>
      </w:r>
      <w:r>
        <w:t xml:space="preserve">The patient </w:t>
      </w:r>
      <w:r w:rsidR="007940BF">
        <w:t>smokes one cigarette a day for fifteen years and should be coun</w:t>
      </w:r>
      <w:r w:rsidR="00E8187D">
        <w:t>seled on smoking cessation. When</w:t>
      </w:r>
      <w:r w:rsidR="007940BF">
        <w:t xml:space="preserve"> the patient is awake and stable</w:t>
      </w:r>
      <w:r w:rsidR="00E8187D">
        <w:t>,</w:t>
      </w:r>
      <w:r w:rsidR="007940BF">
        <w:t xml:space="preserve"> the acute care nurse practitioner is to counsel the patient on cessation, assess her willingness or desire to quit, and help develop a plan. </w:t>
      </w:r>
      <w:r w:rsidR="00C16B19">
        <w:t>This is especially important given her history of hypertension, hyperlipidemia and positive familial history of</w:t>
      </w:r>
      <w:r w:rsidR="00E8187D">
        <w:t xml:space="preserve"> cancer and</w:t>
      </w:r>
      <w:r w:rsidR="00C16B19">
        <w:t xml:space="preserve"> myocardial infarction.</w:t>
      </w:r>
    </w:p>
    <w:p w:rsidR="00846303" w:rsidRDefault="00FB79A7" w:rsidP="00846303">
      <w:pPr>
        <w:spacing w:line="480" w:lineRule="auto"/>
        <w:contextualSpacing/>
      </w:pPr>
      <w:r>
        <w:tab/>
        <w:t xml:space="preserve">The patient has a family history </w:t>
      </w:r>
      <w:r w:rsidR="0092281B">
        <w:t>of colon cancer and her last colono</w:t>
      </w:r>
      <w:r w:rsidR="00E8187D">
        <w:t>scopy was</w:t>
      </w:r>
      <w:r w:rsidR="005E273E">
        <w:t xml:space="preserve"> in</w:t>
      </w:r>
      <w:r w:rsidR="00E8187D">
        <w:t xml:space="preserve"> 1998</w:t>
      </w:r>
      <w:r w:rsidR="0092281B">
        <w:t xml:space="preserve">. Upon discharge she should be advised to follow-up with her primary care physician to schedule </w:t>
      </w:r>
      <w:r w:rsidR="0092281B">
        <w:lastRenderedPageBreak/>
        <w:t xml:space="preserve">or refer her to get a colonoscopy. This should be done at minimum every ten years, but </w:t>
      </w:r>
      <w:r w:rsidR="005E273E">
        <w:t>more frequently with her family history and her history of polyp removal</w:t>
      </w:r>
      <w:r w:rsidR="00F646E5">
        <w:t xml:space="preserve"> (CDC, 2013). </w:t>
      </w:r>
    </w:p>
    <w:p w:rsidR="00D13893" w:rsidRPr="00CC21B1" w:rsidRDefault="00CC21B1" w:rsidP="00476160">
      <w:pPr>
        <w:spacing w:line="480" w:lineRule="auto"/>
        <w:contextualSpacing/>
      </w:pPr>
      <w:r>
        <w:tab/>
        <w:t xml:space="preserve">She has a history of depression and reports being well controlled on her maintenance dose of Zoloft, but she should be monitored closely and revaluated during </w:t>
      </w:r>
      <w:r w:rsidR="005E273E">
        <w:t xml:space="preserve">recovery of this acute illness. </w:t>
      </w:r>
      <w:r>
        <w:t>GBS can take up to two years to recover from physically with a lot of intensive therapy which can be mentally devastating for a high functioning individual such as this patient. When stable</w:t>
      </w:r>
      <w:r w:rsidR="005E273E">
        <w:t>,</w:t>
      </w:r>
      <w:r>
        <w:t xml:space="preserve"> the acute care nurse practitioner is to assess her mental health needs while in the hospital and make appropriate referrals upon discharge for follow-up. This patient may or may not need a change to her current therapy for her history of depression.</w:t>
      </w:r>
    </w:p>
    <w:p w:rsidR="00C50392" w:rsidRDefault="00C50392" w:rsidP="00937625">
      <w:pPr>
        <w:spacing w:line="480" w:lineRule="auto"/>
        <w:contextualSpacing/>
        <w:jc w:val="center"/>
        <w:rPr>
          <w:b/>
        </w:rPr>
      </w:pPr>
      <w:r>
        <w:rPr>
          <w:b/>
        </w:rPr>
        <w:t>Foll</w:t>
      </w:r>
      <w:r w:rsidR="00056987">
        <w:rPr>
          <w:b/>
        </w:rPr>
        <w:t>o</w:t>
      </w:r>
      <w:r>
        <w:rPr>
          <w:b/>
        </w:rPr>
        <w:t>w-up</w:t>
      </w:r>
    </w:p>
    <w:p w:rsidR="005654DB" w:rsidRDefault="00D85D72" w:rsidP="00EF14F0">
      <w:pPr>
        <w:spacing w:line="480" w:lineRule="auto"/>
        <w:contextualSpacing/>
      </w:pPr>
      <w:r>
        <w:tab/>
      </w:r>
      <w:r w:rsidR="001B375A">
        <w:t xml:space="preserve"> </w:t>
      </w:r>
      <w:r w:rsidR="00E5608E">
        <w:t>There are many items to follow-up on</w:t>
      </w:r>
      <w:r w:rsidR="007320E5">
        <w:t xml:space="preserve"> for</w:t>
      </w:r>
      <w:r w:rsidR="00E5608E">
        <w:t xml:space="preserve"> this patient to ensure </w:t>
      </w:r>
      <w:r w:rsidR="001138EA">
        <w:t>her care is progressing</w:t>
      </w:r>
      <w:r w:rsidR="007320E5">
        <w:t xml:space="preserve"> in the right direction. Assessment of the patient’s oxygenation and perfusion with vital signs and a repeat arterial blood gas (ABG) is needed one hour after the start of mechanical ventilation. Serial ABG’s may be needed if the patient does not improve or there is a question of how to adjust ventilator settings. Wean FiO2 and PEEP as tolerated with the goal of minimizing both. Perform a spontaneous breathing trial daily, if the patient meets criteria with FiO2 less than or equal to 40%. Assess daily the patient’s ability to be extubated to minimize days on mechanical ventilation as it has a negative correlation with outcomes (Meena, Khadilkar, &amp; Murthy, 2011).</w:t>
      </w:r>
      <w:r w:rsidR="005A62EB">
        <w:t xml:space="preserve"> When the patien</w:t>
      </w:r>
      <w:r w:rsidR="005E273E">
        <w:t>t is alert, not receiving sedation</w:t>
      </w:r>
      <w:r w:rsidR="005A62EB">
        <w:t xml:space="preserve"> and able to participate, serial negative inspiratory force</w:t>
      </w:r>
      <w:r w:rsidR="005E273E">
        <w:t xml:space="preserve"> (NIF)</w:t>
      </w:r>
      <w:r w:rsidR="005A62EB">
        <w:t xml:space="preserve"> should be checked every four hours per respiratory therapy. Extubation should not be considered if the patients’ NIF’s are &gt; -30 centimeters of water (Kiley, 2011). </w:t>
      </w:r>
    </w:p>
    <w:p w:rsidR="0088594C" w:rsidRDefault="007320E5" w:rsidP="00EF14F0">
      <w:pPr>
        <w:spacing w:line="480" w:lineRule="auto"/>
        <w:contextualSpacing/>
      </w:pPr>
      <w:r>
        <w:tab/>
        <w:t xml:space="preserve">Follow-up on all radiographic images and laboratory data is necessary as it becomes available. The MRI should be obtained when the patient is stable. The CSF should be examined </w:t>
      </w:r>
      <w:r>
        <w:lastRenderedPageBreak/>
        <w:t xml:space="preserve">thoroughly to ensure an underlying condition does not exist. </w:t>
      </w:r>
      <w:r w:rsidR="0088594C">
        <w:t xml:space="preserve">Follow-up with Pathology consult to determine if the patient meets criteria for plasmapheresis. If the patient does not, consider intravenous immunoglobulin (IVIG). There has been no significant difference in patient outcomes between plasma exchange and IVIG for the treatment of GBS (Aminoff &amp; Kerchner, 2013; Andary, 2012; Meena, Khadilkar, &amp; Murthy, 2011). </w:t>
      </w:r>
    </w:p>
    <w:p w:rsidR="00E61BC1" w:rsidRDefault="00E61BC1" w:rsidP="00EF14F0">
      <w:pPr>
        <w:spacing w:line="480" w:lineRule="auto"/>
        <w:contextualSpacing/>
      </w:pPr>
      <w:r>
        <w:tab/>
        <w:t>Serum chemistry levels may need to be ordered more frequently if disturbances in sodium or other electrolytes occur. Monitor vital signs, labs, and urinary output to determine fluid needs of the patient. If multiple fluid boluses are needed, rotating lactated ringers and sodium chloride are effica</w:t>
      </w:r>
      <w:r w:rsidR="00F21BCC">
        <w:t>cious to prevent hyperchloremia (Yunos et al., 2012).</w:t>
      </w:r>
      <w:r>
        <w:t xml:space="preserve"> </w:t>
      </w:r>
      <w:r w:rsidR="006449B4">
        <w:t>C</w:t>
      </w:r>
      <w:r w:rsidR="0008762D">
        <w:t xml:space="preserve">ardiac function should be assessed with a transesophageal echocardiogram. This will help determine left ventricular ejection fraction, wall motion, valve function and overall ability to tolerate </w:t>
      </w:r>
      <w:r w:rsidR="006449B4">
        <w:t>fluids. All</w:t>
      </w:r>
      <w:r w:rsidR="0008762D">
        <w:t xml:space="preserve"> home antihypertensive medications should be held as long as the patient is hypotensive.  </w:t>
      </w:r>
    </w:p>
    <w:p w:rsidR="00222C8A" w:rsidRDefault="00FD4FC1" w:rsidP="00EF14F0">
      <w:pPr>
        <w:spacing w:line="480" w:lineRule="auto"/>
        <w:contextualSpacing/>
      </w:pPr>
      <w:r>
        <w:tab/>
        <w:t>The patients</w:t>
      </w:r>
      <w:r w:rsidR="005E273E">
        <w:t>’</w:t>
      </w:r>
      <w:r>
        <w:t xml:space="preserve"> pain needs</w:t>
      </w:r>
      <w:r w:rsidR="005E273E">
        <w:t xml:space="preserve"> are</w:t>
      </w:r>
      <w:r>
        <w:t xml:space="preserve"> assessed on an ongoing basis. The fentanyl may or may not be sufficient to keep the patients’ pain at a tolerable level. A continuous drip may be considered and or adding an agent specifically for neuropathic pain such as gabapentin. Gabapentin 300 mg via NG tube daily may be added for pain (Lexi-Comp, 2013</w:t>
      </w:r>
      <w:r w:rsidR="00605766">
        <w:t>; Meena, Khadilkar, &amp; Murthy, 2011</w:t>
      </w:r>
      <w:r>
        <w:t>).</w:t>
      </w:r>
      <w:r w:rsidR="00605766">
        <w:t xml:space="preserve"> </w:t>
      </w:r>
      <w:r w:rsidR="00222C8A">
        <w:t xml:space="preserve">Monitor for hypotension caused the medications used to control pain. </w:t>
      </w:r>
    </w:p>
    <w:p w:rsidR="00FD4FC1" w:rsidRDefault="00222C8A" w:rsidP="00EF14F0">
      <w:pPr>
        <w:spacing w:line="480" w:lineRule="auto"/>
        <w:contextualSpacing/>
      </w:pPr>
      <w:r>
        <w:tab/>
        <w:t xml:space="preserve">Nutritional support should be started as soon as possible when able to promote healing and further breakdown of the musculoskeletal system (Meena, Khadilkar, &amp; Murthy, 2011). A consult to a dietitian should be made to determine the formula and goal rate. Continuous tube feeds are usually better tolerated than bolus feedings in the critically ill patient. </w:t>
      </w:r>
      <w:r w:rsidR="00FD4FC1">
        <w:t xml:space="preserve"> </w:t>
      </w:r>
      <w:r w:rsidR="005A62EB">
        <w:t>Consult speech therapy when extubated to determine severity of dysphagia and long-term needs of enteral tube feedings.</w:t>
      </w:r>
    </w:p>
    <w:p w:rsidR="005A62EB" w:rsidRPr="00D85D72" w:rsidRDefault="005A62EB" w:rsidP="00EF14F0">
      <w:pPr>
        <w:spacing w:line="480" w:lineRule="auto"/>
        <w:contextualSpacing/>
      </w:pPr>
      <w:r>
        <w:lastRenderedPageBreak/>
        <w:tab/>
        <w:t>Physical and occupational therapy</w:t>
      </w:r>
      <w:r w:rsidR="005E273E">
        <w:t xml:space="preserve"> are</w:t>
      </w:r>
      <w:r>
        <w:t xml:space="preserve"> very important for this patient’</w:t>
      </w:r>
      <w:r w:rsidR="00C54922">
        <w:t>s recovery. Therapy needs should be assessed daily to promote a faster recovery and minimize disability</w:t>
      </w:r>
      <w:r w:rsidR="00A232A7">
        <w:t xml:space="preserve"> (</w:t>
      </w:r>
      <w:r w:rsidR="005E5D41">
        <w:t>GBS/CIDP, 2013)</w:t>
      </w:r>
      <w:r w:rsidR="00C54922">
        <w:t>. Goals of therapy are</w:t>
      </w:r>
      <w:r w:rsidR="005E273E">
        <w:t xml:space="preserve"> to</w:t>
      </w:r>
      <w:r w:rsidR="00C54922">
        <w:t xml:space="preserve"> achieve optimal muscle use with assistive devices as needed while maintaining a tolerable pain level.</w:t>
      </w:r>
    </w:p>
    <w:p w:rsidR="004E56ED" w:rsidRDefault="004E56ED" w:rsidP="00B04CE5">
      <w:pPr>
        <w:spacing w:line="480" w:lineRule="auto"/>
        <w:contextualSpacing/>
        <w:rPr>
          <w:b/>
        </w:rPr>
      </w:pPr>
    </w:p>
    <w:p w:rsidR="0075636A" w:rsidRDefault="0075636A"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5E273E" w:rsidRDefault="005E273E" w:rsidP="00B04CE5">
      <w:pPr>
        <w:spacing w:line="480" w:lineRule="auto"/>
        <w:contextualSpacing/>
        <w:rPr>
          <w:b/>
        </w:rPr>
      </w:pPr>
    </w:p>
    <w:p w:rsidR="0075636A" w:rsidRDefault="0075636A" w:rsidP="00B04CE5">
      <w:pPr>
        <w:spacing w:line="480" w:lineRule="auto"/>
        <w:contextualSpacing/>
        <w:rPr>
          <w:b/>
        </w:rPr>
      </w:pPr>
    </w:p>
    <w:p w:rsidR="0071466F" w:rsidRDefault="009219C7" w:rsidP="00AA2EEE">
      <w:pPr>
        <w:spacing w:line="480" w:lineRule="auto"/>
        <w:contextualSpacing/>
        <w:jc w:val="center"/>
        <w:rPr>
          <w:b/>
        </w:rPr>
      </w:pPr>
      <w:r>
        <w:rPr>
          <w:b/>
        </w:rPr>
        <w:lastRenderedPageBreak/>
        <w:t>References</w:t>
      </w:r>
    </w:p>
    <w:p w:rsidR="00041654" w:rsidRPr="00A37C63" w:rsidRDefault="00041654" w:rsidP="00A37C63">
      <w:pPr>
        <w:tabs>
          <w:tab w:val="left" w:pos="5244"/>
        </w:tabs>
        <w:spacing w:line="480" w:lineRule="auto"/>
        <w:ind w:left="720" w:hanging="720"/>
        <w:contextualSpacing/>
      </w:pPr>
      <w:r>
        <w:t xml:space="preserve">Aminoff, M., &amp; Kerchner, G. (2013). Nervous system disorders. In M. A. Papadakis, S. J. McPhee, &amp; M. W. Rabow (Eds.), </w:t>
      </w:r>
      <w:r>
        <w:rPr>
          <w:i/>
        </w:rPr>
        <w:t xml:space="preserve">2013 Current Medical Diagnosis &amp; Treatment, Fifty-second edition </w:t>
      </w:r>
      <w:r>
        <w:t>(pp. 1024-1025). New York, NY: The McGraw-Hill Companies, Inc.</w:t>
      </w:r>
    </w:p>
    <w:p w:rsidR="006171A4" w:rsidRPr="006171A4" w:rsidRDefault="006171A4" w:rsidP="006171A4">
      <w:pPr>
        <w:spacing w:line="480" w:lineRule="auto"/>
        <w:ind w:left="720" w:hanging="720"/>
        <w:contextualSpacing/>
      </w:pPr>
      <w:r>
        <w:t xml:space="preserve">Andary, M. (2012). Guillain-Barre syndrome. </w:t>
      </w:r>
      <w:r w:rsidRPr="006D4C7E">
        <w:t>Medscape</w:t>
      </w:r>
      <w:r w:rsidR="002F5991" w:rsidRPr="006D4C7E">
        <w:t xml:space="preserve"> Reference Drugs, Diseases, &amp; Procedures</w:t>
      </w:r>
      <w:r w:rsidRPr="006D4C7E">
        <w:t>.</w:t>
      </w:r>
      <w:r>
        <w:rPr>
          <w:i/>
        </w:rPr>
        <w:t xml:space="preserve"> </w:t>
      </w:r>
      <w:r>
        <w:t xml:space="preserve">Retrieved from </w:t>
      </w:r>
      <w:hyperlink r:id="rId8" w:anchor="3" w:history="1">
        <w:r w:rsidRPr="006171A4">
          <w:rPr>
            <w:color w:val="0000FF"/>
            <w:u w:val="single"/>
          </w:rPr>
          <w:t>http://emedicine.medscape.com/article/315632-medication#3</w:t>
        </w:r>
      </w:hyperlink>
    </w:p>
    <w:p w:rsidR="00E07881" w:rsidRDefault="00E07881" w:rsidP="00EF2BD8">
      <w:pPr>
        <w:spacing w:line="480" w:lineRule="auto"/>
        <w:ind w:left="720" w:hanging="720"/>
        <w:contextualSpacing/>
      </w:pPr>
      <w:r>
        <w:t xml:space="preserve">Centers for Disease Control and Prevention. (2013). Colorectal cancer screening </w:t>
      </w:r>
      <w:r w:rsidR="00503FF7">
        <w:t xml:space="preserve">guidelines. </w:t>
      </w:r>
      <w:r w:rsidR="00EF2BD8">
        <w:t>Retrieved from</w:t>
      </w:r>
      <w:hyperlink r:id="rId9" w:history="1">
        <w:r w:rsidR="00EF2BD8" w:rsidRPr="00EF2BD8">
          <w:rPr>
            <w:color w:val="0000FF"/>
            <w:u w:val="single"/>
          </w:rPr>
          <w:t>http://www.cdc.gov/cancer/colorectal/basic_info/screening/guidelines.htm</w:t>
        </w:r>
      </w:hyperlink>
    </w:p>
    <w:p w:rsidR="006D4C7E" w:rsidRDefault="006D4C7E" w:rsidP="00EF2BD8">
      <w:pPr>
        <w:spacing w:line="480" w:lineRule="auto"/>
        <w:ind w:left="720" w:hanging="720"/>
        <w:contextualSpacing/>
      </w:pPr>
      <w:r>
        <w:t xml:space="preserve">Chawla, J., &amp; Lorenzo, N. (2013). Nutritional neuropathy clinical presentation. Medscape Reference Drugs, Diseases, &amp; Procedures. Retrieved from </w:t>
      </w:r>
      <w:hyperlink r:id="rId10" w:history="1">
        <w:r w:rsidRPr="006D4C7E">
          <w:rPr>
            <w:color w:val="0000FF"/>
            <w:u w:val="single"/>
          </w:rPr>
          <w:t>http://emedicine.medscape.com/article/1171558-clinical</w:t>
        </w:r>
      </w:hyperlink>
    </w:p>
    <w:p w:rsidR="00A232A7" w:rsidRDefault="00A232A7" w:rsidP="00EF2BD8">
      <w:pPr>
        <w:spacing w:line="480" w:lineRule="auto"/>
        <w:ind w:left="720" w:hanging="720"/>
        <w:contextualSpacing/>
      </w:pPr>
      <w:r>
        <w:t>Gullian-Barre Syndrome and Chronic Inflammatory</w:t>
      </w:r>
      <w:r w:rsidR="00496914">
        <w:t xml:space="preserve"> Demyelinating Polyneuropathy International Foundation. (2013). Guidelines for physical and occupational therapy. Retrieved from </w:t>
      </w:r>
      <w:hyperlink r:id="rId11" w:history="1">
        <w:r w:rsidR="00496914" w:rsidRPr="00496914">
          <w:rPr>
            <w:color w:val="0000FF"/>
            <w:u w:val="single"/>
          </w:rPr>
          <w:t>http://www.gbs-cidp.org/wp-content/uploads/2012/01/PTOTGuidelines.pdf</w:t>
        </w:r>
      </w:hyperlink>
    </w:p>
    <w:p w:rsidR="006F7BAD" w:rsidRDefault="006F7BAD" w:rsidP="00EF2BD8">
      <w:pPr>
        <w:spacing w:line="480" w:lineRule="auto"/>
        <w:ind w:left="720" w:hanging="720"/>
        <w:contextualSpacing/>
      </w:pPr>
      <w:r>
        <w:t xml:space="preserve">Kiley, J. (2011). Review of Guillain-Barre Syndrome. Peace Health Organization Neurology Presentation. Retrieved from </w:t>
      </w:r>
      <w:hyperlink r:id="rId12" w:history="1">
        <w:r w:rsidRPr="006F7BAD">
          <w:rPr>
            <w:color w:val="0000FF"/>
            <w:u w:val="single"/>
          </w:rPr>
          <w:t>http://www.peacehealth.org/Documents/kiley-guillain-barre.pdf</w:t>
        </w:r>
      </w:hyperlink>
    </w:p>
    <w:p w:rsidR="002F5991" w:rsidRPr="00E07881" w:rsidRDefault="002F5991" w:rsidP="002F5991">
      <w:pPr>
        <w:spacing w:line="480" w:lineRule="auto"/>
        <w:ind w:left="720" w:hanging="720"/>
        <w:contextualSpacing/>
      </w:pPr>
      <w:r w:rsidRPr="00A17010">
        <w:t>Lexi-Comp, Inc. (20</w:t>
      </w:r>
      <w:r>
        <w:t>13). Lexi-Drugs. Accessed October 30</w:t>
      </w:r>
      <w:r w:rsidRPr="00A17010">
        <w:t>, 2013.</w:t>
      </w:r>
    </w:p>
    <w:p w:rsidR="00907E90" w:rsidRDefault="00973C46" w:rsidP="00D35946">
      <w:pPr>
        <w:spacing w:line="480" w:lineRule="auto"/>
        <w:ind w:left="720" w:hanging="720"/>
        <w:contextualSpacing/>
      </w:pPr>
      <w:r>
        <w:t xml:space="preserve">Meena, A., Kahdilkar, S., &amp; Murthy, M. (2011). Treatment guidelines for Guillain-Barre. </w:t>
      </w:r>
      <w:r>
        <w:rPr>
          <w:i/>
        </w:rPr>
        <w:t xml:space="preserve">Journal of Indian Academy of Neurology, 14(1), </w:t>
      </w:r>
      <w:r>
        <w:t>73-81. doi:</w:t>
      </w:r>
      <w:r w:rsidR="00C955D8">
        <w:t xml:space="preserve"> </w:t>
      </w:r>
      <w:hyperlink r:id="rId13" w:tgtFrame="pmc_ext" w:history="1">
        <w:r w:rsidRPr="00973C46">
          <w:rPr>
            <w:shd w:val="clear" w:color="auto" w:fill="FFFFFF"/>
          </w:rPr>
          <w:t>10.4103/0972-2327.83087</w:t>
        </w:r>
      </w:hyperlink>
    </w:p>
    <w:p w:rsidR="004C77EA" w:rsidRDefault="004C77EA" w:rsidP="004C77EA">
      <w:pPr>
        <w:spacing w:line="480" w:lineRule="auto"/>
        <w:ind w:left="720" w:hanging="720"/>
        <w:contextualSpacing/>
      </w:pPr>
      <w:r w:rsidRPr="004C77EA">
        <w:t>González-Suárez</w:t>
      </w:r>
      <w:r w:rsidR="000C75AD">
        <w:t>, I., Sanz-Gallego, I.,</w:t>
      </w:r>
      <w:r w:rsidR="000C75AD" w:rsidRPr="000C75AD">
        <w:t xml:space="preserve"> Rodríguez de Rivera</w:t>
      </w:r>
      <w:r w:rsidR="000C75AD">
        <w:t xml:space="preserve">, F., &amp; Arpa, J. (2013). </w:t>
      </w:r>
      <w:r>
        <w:t>Guillain-Barré Syndrome: Natural history and prognostic factors: a retrospective review of</w:t>
      </w:r>
    </w:p>
    <w:p w:rsidR="004C77EA" w:rsidRPr="000C75AD" w:rsidRDefault="004C77EA" w:rsidP="000C75AD">
      <w:pPr>
        <w:spacing w:line="480" w:lineRule="auto"/>
        <w:ind w:left="720"/>
        <w:contextualSpacing/>
      </w:pPr>
      <w:r>
        <w:lastRenderedPageBreak/>
        <w:t>106 cases</w:t>
      </w:r>
      <w:r w:rsidR="000C75AD">
        <w:t xml:space="preserve">. </w:t>
      </w:r>
      <w:r w:rsidR="000C75AD">
        <w:rPr>
          <w:i/>
        </w:rPr>
        <w:t xml:space="preserve">Biomedical Neurology, </w:t>
      </w:r>
      <w:r w:rsidR="000C75AD">
        <w:t xml:space="preserve">13(95). Retrieved from </w:t>
      </w:r>
      <w:hyperlink r:id="rId14" w:history="1">
        <w:r w:rsidR="000C75AD" w:rsidRPr="000C75AD">
          <w:rPr>
            <w:color w:val="0000FF"/>
            <w:u w:val="single"/>
          </w:rPr>
          <w:t>http://www.biomedcentral.com/content/pdf/1471-2377-13-95.pdf</w:t>
        </w:r>
      </w:hyperlink>
    </w:p>
    <w:p w:rsidR="001B6E1B" w:rsidRPr="001B6E1B" w:rsidRDefault="001B6E1B" w:rsidP="00D35946">
      <w:pPr>
        <w:spacing w:line="480" w:lineRule="auto"/>
        <w:ind w:left="720" w:hanging="720"/>
        <w:contextualSpacing/>
      </w:pPr>
      <w:r>
        <w:t xml:space="preserve">Yunos, N., Bellomo, R., Hegarty, C., Story, D., Ho, L., &amp; Bailey, M. (2012). Association between a chloride liberal vs chloride restrictive intravenous fluid administration strategy and kidney injury in critically ill adults. </w:t>
      </w:r>
      <w:r>
        <w:rPr>
          <w:i/>
        </w:rPr>
        <w:t xml:space="preserve">Journal of American Medical Association, 308(15), </w:t>
      </w:r>
      <w:r>
        <w:t xml:space="preserve">1565-1572. </w:t>
      </w:r>
    </w:p>
    <w:sectPr w:rsidR="001B6E1B" w:rsidRPr="001B6E1B" w:rsidSect="002557F6">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12" w:rsidRDefault="007B2812" w:rsidP="002557F6">
      <w:pPr>
        <w:spacing w:after="0" w:line="240" w:lineRule="auto"/>
      </w:pPr>
      <w:r>
        <w:separator/>
      </w:r>
    </w:p>
  </w:endnote>
  <w:endnote w:type="continuationSeparator" w:id="0">
    <w:p w:rsidR="007B2812" w:rsidRDefault="007B2812" w:rsidP="002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12" w:rsidRDefault="007B2812" w:rsidP="002557F6">
      <w:pPr>
        <w:spacing w:after="0" w:line="240" w:lineRule="auto"/>
      </w:pPr>
      <w:r>
        <w:separator/>
      </w:r>
    </w:p>
  </w:footnote>
  <w:footnote w:type="continuationSeparator" w:id="0">
    <w:p w:rsidR="007B2812" w:rsidRDefault="007B2812" w:rsidP="00255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A7" w:rsidRDefault="00A232A7" w:rsidP="002557F6">
    <w:pPr>
      <w:pStyle w:val="Header"/>
    </w:pPr>
    <w:r>
      <w:t>COMPREHENSIVE CLINICAL CASE STUDY</w:t>
    </w:r>
    <w:r>
      <w:tab/>
    </w:r>
    <w:sdt>
      <w:sdtPr>
        <w:id w:val="-12258259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2A33">
          <w:rPr>
            <w:noProof/>
          </w:rPr>
          <w:t>19</w:t>
        </w:r>
        <w:r>
          <w:rPr>
            <w:noProof/>
          </w:rPr>
          <w:fldChar w:fldCharType="end"/>
        </w:r>
      </w:sdtContent>
    </w:sdt>
  </w:p>
  <w:p w:rsidR="00A232A7" w:rsidRDefault="00A23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A7" w:rsidRDefault="00A232A7" w:rsidP="002557F6">
    <w:pPr>
      <w:pStyle w:val="Header"/>
    </w:pPr>
    <w:r>
      <w:t>Running head: COMPHRENSIVE CLINICAL CASE STUDY</w:t>
    </w:r>
    <w:r>
      <w:tab/>
    </w:r>
    <w:sdt>
      <w:sdtPr>
        <w:id w:val="-640803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2A33">
          <w:rPr>
            <w:noProof/>
          </w:rPr>
          <w:t>1</w:t>
        </w:r>
        <w:r>
          <w:rPr>
            <w:noProof/>
          </w:rPr>
          <w:fldChar w:fldCharType="end"/>
        </w:r>
      </w:sdtContent>
    </w:sdt>
  </w:p>
  <w:p w:rsidR="00A232A7" w:rsidRDefault="00A23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E1C"/>
    <w:multiLevelType w:val="hybridMultilevel"/>
    <w:tmpl w:val="EBF84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0355"/>
    <w:multiLevelType w:val="hybridMultilevel"/>
    <w:tmpl w:val="4B52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91551"/>
    <w:multiLevelType w:val="hybridMultilevel"/>
    <w:tmpl w:val="2204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F41ED"/>
    <w:multiLevelType w:val="hybridMultilevel"/>
    <w:tmpl w:val="2A52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C76FE"/>
    <w:multiLevelType w:val="hybridMultilevel"/>
    <w:tmpl w:val="FFA6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56A01"/>
    <w:multiLevelType w:val="hybridMultilevel"/>
    <w:tmpl w:val="CABE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02E3E"/>
    <w:multiLevelType w:val="hybridMultilevel"/>
    <w:tmpl w:val="F236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339EB"/>
    <w:multiLevelType w:val="hybridMultilevel"/>
    <w:tmpl w:val="345A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B7B14"/>
    <w:multiLevelType w:val="hybridMultilevel"/>
    <w:tmpl w:val="2980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02FD7"/>
    <w:multiLevelType w:val="hybridMultilevel"/>
    <w:tmpl w:val="A036E3C2"/>
    <w:lvl w:ilvl="0" w:tplc="690ED1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90602A"/>
    <w:multiLevelType w:val="hybridMultilevel"/>
    <w:tmpl w:val="4F94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58430E"/>
    <w:multiLevelType w:val="hybridMultilevel"/>
    <w:tmpl w:val="21A64D80"/>
    <w:lvl w:ilvl="0" w:tplc="7F567D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70B67"/>
    <w:multiLevelType w:val="hybridMultilevel"/>
    <w:tmpl w:val="5F76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12"/>
  </w:num>
  <w:num w:numId="6">
    <w:abstractNumId w:val="6"/>
  </w:num>
  <w:num w:numId="7">
    <w:abstractNumId w:val="10"/>
  </w:num>
  <w:num w:numId="8">
    <w:abstractNumId w:val="0"/>
  </w:num>
  <w:num w:numId="9">
    <w:abstractNumId w:val="2"/>
  </w:num>
  <w:num w:numId="10">
    <w:abstractNumId w:val="7"/>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1A"/>
    <w:rsid w:val="0000620B"/>
    <w:rsid w:val="00007B6E"/>
    <w:rsid w:val="0001237C"/>
    <w:rsid w:val="00021033"/>
    <w:rsid w:val="00023D34"/>
    <w:rsid w:val="000314A3"/>
    <w:rsid w:val="000401F7"/>
    <w:rsid w:val="00040904"/>
    <w:rsid w:val="00041654"/>
    <w:rsid w:val="000422E7"/>
    <w:rsid w:val="00051534"/>
    <w:rsid w:val="0005266F"/>
    <w:rsid w:val="00056987"/>
    <w:rsid w:val="00057B4C"/>
    <w:rsid w:val="00065C4F"/>
    <w:rsid w:val="000734C1"/>
    <w:rsid w:val="0007454F"/>
    <w:rsid w:val="000747C4"/>
    <w:rsid w:val="00076046"/>
    <w:rsid w:val="0008494D"/>
    <w:rsid w:val="0008762D"/>
    <w:rsid w:val="00090684"/>
    <w:rsid w:val="000B5DC5"/>
    <w:rsid w:val="000C07C8"/>
    <w:rsid w:val="000C2857"/>
    <w:rsid w:val="000C3BB1"/>
    <w:rsid w:val="000C75AD"/>
    <w:rsid w:val="000C7C7D"/>
    <w:rsid w:val="000D14C2"/>
    <w:rsid w:val="000D569D"/>
    <w:rsid w:val="000E25EE"/>
    <w:rsid w:val="000E46BE"/>
    <w:rsid w:val="000E734F"/>
    <w:rsid w:val="000E7B70"/>
    <w:rsid w:val="000F2308"/>
    <w:rsid w:val="000F48F6"/>
    <w:rsid w:val="000F652C"/>
    <w:rsid w:val="00102529"/>
    <w:rsid w:val="00105033"/>
    <w:rsid w:val="00105DEB"/>
    <w:rsid w:val="001138EA"/>
    <w:rsid w:val="0011464A"/>
    <w:rsid w:val="00120E2C"/>
    <w:rsid w:val="001211C1"/>
    <w:rsid w:val="00121BC4"/>
    <w:rsid w:val="00126E3A"/>
    <w:rsid w:val="00130C55"/>
    <w:rsid w:val="001415A8"/>
    <w:rsid w:val="00143766"/>
    <w:rsid w:val="00152165"/>
    <w:rsid w:val="00152AF9"/>
    <w:rsid w:val="00164755"/>
    <w:rsid w:val="00166FF1"/>
    <w:rsid w:val="00170677"/>
    <w:rsid w:val="00170774"/>
    <w:rsid w:val="001957DA"/>
    <w:rsid w:val="00195D39"/>
    <w:rsid w:val="00196AE7"/>
    <w:rsid w:val="001A09E8"/>
    <w:rsid w:val="001A0A24"/>
    <w:rsid w:val="001A7446"/>
    <w:rsid w:val="001B1210"/>
    <w:rsid w:val="001B1315"/>
    <w:rsid w:val="001B141C"/>
    <w:rsid w:val="001B375A"/>
    <w:rsid w:val="001B4700"/>
    <w:rsid w:val="001B6E1B"/>
    <w:rsid w:val="001C0D13"/>
    <w:rsid w:val="001C26D4"/>
    <w:rsid w:val="001D46F2"/>
    <w:rsid w:val="001D74FD"/>
    <w:rsid w:val="001E0A19"/>
    <w:rsid w:val="001E46BF"/>
    <w:rsid w:val="001E7B31"/>
    <w:rsid w:val="001F462D"/>
    <w:rsid w:val="001F46C8"/>
    <w:rsid w:val="00204A4E"/>
    <w:rsid w:val="0021058D"/>
    <w:rsid w:val="00212524"/>
    <w:rsid w:val="00222C8A"/>
    <w:rsid w:val="002318DB"/>
    <w:rsid w:val="00233D81"/>
    <w:rsid w:val="0023659A"/>
    <w:rsid w:val="002405C1"/>
    <w:rsid w:val="0024519C"/>
    <w:rsid w:val="00247405"/>
    <w:rsid w:val="002557F6"/>
    <w:rsid w:val="0026195D"/>
    <w:rsid w:val="00271AAB"/>
    <w:rsid w:val="002760CD"/>
    <w:rsid w:val="00276305"/>
    <w:rsid w:val="0028302A"/>
    <w:rsid w:val="00295CCB"/>
    <w:rsid w:val="002977C4"/>
    <w:rsid w:val="002A20EF"/>
    <w:rsid w:val="002A434F"/>
    <w:rsid w:val="002B3E27"/>
    <w:rsid w:val="002C0380"/>
    <w:rsid w:val="002C56B3"/>
    <w:rsid w:val="002D5B5B"/>
    <w:rsid w:val="002E656A"/>
    <w:rsid w:val="002E68F0"/>
    <w:rsid w:val="002F32B3"/>
    <w:rsid w:val="002F5991"/>
    <w:rsid w:val="003106D5"/>
    <w:rsid w:val="0031146B"/>
    <w:rsid w:val="00311B0B"/>
    <w:rsid w:val="00311FEC"/>
    <w:rsid w:val="00314C49"/>
    <w:rsid w:val="00330046"/>
    <w:rsid w:val="00333DCD"/>
    <w:rsid w:val="00336D42"/>
    <w:rsid w:val="00337BC7"/>
    <w:rsid w:val="003402DC"/>
    <w:rsid w:val="003423C0"/>
    <w:rsid w:val="00350CC6"/>
    <w:rsid w:val="00351488"/>
    <w:rsid w:val="003560CA"/>
    <w:rsid w:val="00362431"/>
    <w:rsid w:val="00363B77"/>
    <w:rsid w:val="00364B5F"/>
    <w:rsid w:val="00364C92"/>
    <w:rsid w:val="00376934"/>
    <w:rsid w:val="003911A1"/>
    <w:rsid w:val="00393B66"/>
    <w:rsid w:val="00395886"/>
    <w:rsid w:val="003A11E1"/>
    <w:rsid w:val="003A3B2F"/>
    <w:rsid w:val="003A7D70"/>
    <w:rsid w:val="003B0DD4"/>
    <w:rsid w:val="003B5377"/>
    <w:rsid w:val="003C07C4"/>
    <w:rsid w:val="003E499C"/>
    <w:rsid w:val="003F43B9"/>
    <w:rsid w:val="003F67A5"/>
    <w:rsid w:val="0040373F"/>
    <w:rsid w:val="00403EEC"/>
    <w:rsid w:val="004075B1"/>
    <w:rsid w:val="004120BE"/>
    <w:rsid w:val="00416AF6"/>
    <w:rsid w:val="00427B00"/>
    <w:rsid w:val="004305D0"/>
    <w:rsid w:val="00431042"/>
    <w:rsid w:val="004315F7"/>
    <w:rsid w:val="00441E2C"/>
    <w:rsid w:val="004454AC"/>
    <w:rsid w:val="004472B0"/>
    <w:rsid w:val="00454738"/>
    <w:rsid w:val="00455A90"/>
    <w:rsid w:val="00456458"/>
    <w:rsid w:val="00457514"/>
    <w:rsid w:val="004610B0"/>
    <w:rsid w:val="00461561"/>
    <w:rsid w:val="00465F05"/>
    <w:rsid w:val="004661E8"/>
    <w:rsid w:val="00467AE8"/>
    <w:rsid w:val="00467DB3"/>
    <w:rsid w:val="00473EF8"/>
    <w:rsid w:val="00476160"/>
    <w:rsid w:val="0048304A"/>
    <w:rsid w:val="00484387"/>
    <w:rsid w:val="00484A7C"/>
    <w:rsid w:val="004932E3"/>
    <w:rsid w:val="004965C5"/>
    <w:rsid w:val="00496914"/>
    <w:rsid w:val="004A381D"/>
    <w:rsid w:val="004A543A"/>
    <w:rsid w:val="004A5CEE"/>
    <w:rsid w:val="004B28B7"/>
    <w:rsid w:val="004B7926"/>
    <w:rsid w:val="004C2092"/>
    <w:rsid w:val="004C49A0"/>
    <w:rsid w:val="004C76BF"/>
    <w:rsid w:val="004C77EA"/>
    <w:rsid w:val="004D1E26"/>
    <w:rsid w:val="004E0188"/>
    <w:rsid w:val="004E3401"/>
    <w:rsid w:val="004E3420"/>
    <w:rsid w:val="004E3EF4"/>
    <w:rsid w:val="004E56ED"/>
    <w:rsid w:val="004F08D1"/>
    <w:rsid w:val="004F3853"/>
    <w:rsid w:val="004F4FE8"/>
    <w:rsid w:val="004F701C"/>
    <w:rsid w:val="00503FF7"/>
    <w:rsid w:val="00504FEA"/>
    <w:rsid w:val="005113A5"/>
    <w:rsid w:val="005125AF"/>
    <w:rsid w:val="005126E8"/>
    <w:rsid w:val="0053266E"/>
    <w:rsid w:val="00535938"/>
    <w:rsid w:val="00535973"/>
    <w:rsid w:val="00545212"/>
    <w:rsid w:val="00545323"/>
    <w:rsid w:val="00546843"/>
    <w:rsid w:val="0054768E"/>
    <w:rsid w:val="0055027E"/>
    <w:rsid w:val="005521CA"/>
    <w:rsid w:val="00563534"/>
    <w:rsid w:val="005654DB"/>
    <w:rsid w:val="005737EE"/>
    <w:rsid w:val="0057480C"/>
    <w:rsid w:val="0057728F"/>
    <w:rsid w:val="00580DDB"/>
    <w:rsid w:val="00584007"/>
    <w:rsid w:val="00594C9B"/>
    <w:rsid w:val="00597952"/>
    <w:rsid w:val="005A077F"/>
    <w:rsid w:val="005A36FB"/>
    <w:rsid w:val="005A62EB"/>
    <w:rsid w:val="005A7150"/>
    <w:rsid w:val="005B2B14"/>
    <w:rsid w:val="005B4B6A"/>
    <w:rsid w:val="005B4FB6"/>
    <w:rsid w:val="005B7331"/>
    <w:rsid w:val="005C3135"/>
    <w:rsid w:val="005D3A53"/>
    <w:rsid w:val="005D5576"/>
    <w:rsid w:val="005D773C"/>
    <w:rsid w:val="005E0C04"/>
    <w:rsid w:val="005E273E"/>
    <w:rsid w:val="005E4635"/>
    <w:rsid w:val="005E5D41"/>
    <w:rsid w:val="005E7356"/>
    <w:rsid w:val="005F6EE5"/>
    <w:rsid w:val="00605766"/>
    <w:rsid w:val="00612883"/>
    <w:rsid w:val="00612D87"/>
    <w:rsid w:val="00614C40"/>
    <w:rsid w:val="006153AC"/>
    <w:rsid w:val="006171A4"/>
    <w:rsid w:val="00624601"/>
    <w:rsid w:val="00626006"/>
    <w:rsid w:val="006272B9"/>
    <w:rsid w:val="006312C0"/>
    <w:rsid w:val="00637679"/>
    <w:rsid w:val="00637D1C"/>
    <w:rsid w:val="006449B4"/>
    <w:rsid w:val="00651F80"/>
    <w:rsid w:val="0065659A"/>
    <w:rsid w:val="00673B83"/>
    <w:rsid w:val="00683264"/>
    <w:rsid w:val="006846AE"/>
    <w:rsid w:val="006B54F0"/>
    <w:rsid w:val="006C07AE"/>
    <w:rsid w:val="006C0AF8"/>
    <w:rsid w:val="006C70B4"/>
    <w:rsid w:val="006D4C7E"/>
    <w:rsid w:val="006E3651"/>
    <w:rsid w:val="006E43E1"/>
    <w:rsid w:val="006E6CC9"/>
    <w:rsid w:val="006E6DC6"/>
    <w:rsid w:val="006F1295"/>
    <w:rsid w:val="006F7BAD"/>
    <w:rsid w:val="00701F52"/>
    <w:rsid w:val="0070248C"/>
    <w:rsid w:val="00703185"/>
    <w:rsid w:val="0071095A"/>
    <w:rsid w:val="0071466F"/>
    <w:rsid w:val="00722546"/>
    <w:rsid w:val="007320E5"/>
    <w:rsid w:val="00736AA4"/>
    <w:rsid w:val="00737463"/>
    <w:rsid w:val="007527C0"/>
    <w:rsid w:val="0075609B"/>
    <w:rsid w:val="0075636A"/>
    <w:rsid w:val="00760B07"/>
    <w:rsid w:val="00763256"/>
    <w:rsid w:val="0076387C"/>
    <w:rsid w:val="00767805"/>
    <w:rsid w:val="0078011A"/>
    <w:rsid w:val="00783DDC"/>
    <w:rsid w:val="007854E5"/>
    <w:rsid w:val="0079139A"/>
    <w:rsid w:val="007940BF"/>
    <w:rsid w:val="007940E9"/>
    <w:rsid w:val="0079479E"/>
    <w:rsid w:val="00796660"/>
    <w:rsid w:val="007B10CA"/>
    <w:rsid w:val="007B2812"/>
    <w:rsid w:val="007B5613"/>
    <w:rsid w:val="007B5E6D"/>
    <w:rsid w:val="007B6596"/>
    <w:rsid w:val="007C0CA7"/>
    <w:rsid w:val="007C3786"/>
    <w:rsid w:val="007C52AD"/>
    <w:rsid w:val="007D1366"/>
    <w:rsid w:val="007D46EC"/>
    <w:rsid w:val="007E4148"/>
    <w:rsid w:val="007E4456"/>
    <w:rsid w:val="00800570"/>
    <w:rsid w:val="00804887"/>
    <w:rsid w:val="00812DBB"/>
    <w:rsid w:val="0081410F"/>
    <w:rsid w:val="00821E3A"/>
    <w:rsid w:val="00824604"/>
    <w:rsid w:val="00830C36"/>
    <w:rsid w:val="0083271F"/>
    <w:rsid w:val="00833D02"/>
    <w:rsid w:val="00835EE3"/>
    <w:rsid w:val="00836D90"/>
    <w:rsid w:val="00843EA6"/>
    <w:rsid w:val="00844D96"/>
    <w:rsid w:val="00845500"/>
    <w:rsid w:val="00846303"/>
    <w:rsid w:val="008534CD"/>
    <w:rsid w:val="0085540C"/>
    <w:rsid w:val="00856BE6"/>
    <w:rsid w:val="00860C07"/>
    <w:rsid w:val="00862BE9"/>
    <w:rsid w:val="00872E84"/>
    <w:rsid w:val="00874691"/>
    <w:rsid w:val="00874995"/>
    <w:rsid w:val="0087751E"/>
    <w:rsid w:val="00877BE4"/>
    <w:rsid w:val="00883369"/>
    <w:rsid w:val="0088594C"/>
    <w:rsid w:val="0089094E"/>
    <w:rsid w:val="00893E9A"/>
    <w:rsid w:val="008966D1"/>
    <w:rsid w:val="008A1953"/>
    <w:rsid w:val="008A271B"/>
    <w:rsid w:val="008A2A58"/>
    <w:rsid w:val="008B062B"/>
    <w:rsid w:val="008B3558"/>
    <w:rsid w:val="008B393C"/>
    <w:rsid w:val="008C552F"/>
    <w:rsid w:val="008D57FD"/>
    <w:rsid w:val="008E0B79"/>
    <w:rsid w:val="008E17F6"/>
    <w:rsid w:val="008E1CAA"/>
    <w:rsid w:val="008E5334"/>
    <w:rsid w:val="008E63A0"/>
    <w:rsid w:val="008F07FB"/>
    <w:rsid w:val="0090434C"/>
    <w:rsid w:val="00907E90"/>
    <w:rsid w:val="009136A6"/>
    <w:rsid w:val="00917F93"/>
    <w:rsid w:val="00920141"/>
    <w:rsid w:val="00920B43"/>
    <w:rsid w:val="009219C7"/>
    <w:rsid w:val="0092281B"/>
    <w:rsid w:val="00925C7E"/>
    <w:rsid w:val="00937625"/>
    <w:rsid w:val="009466B8"/>
    <w:rsid w:val="009571C6"/>
    <w:rsid w:val="00960E0A"/>
    <w:rsid w:val="00961860"/>
    <w:rsid w:val="009622CA"/>
    <w:rsid w:val="00973C46"/>
    <w:rsid w:val="00976ADC"/>
    <w:rsid w:val="00977186"/>
    <w:rsid w:val="00984F4A"/>
    <w:rsid w:val="0099413B"/>
    <w:rsid w:val="009A6637"/>
    <w:rsid w:val="009B0348"/>
    <w:rsid w:val="009B56DA"/>
    <w:rsid w:val="009B63A8"/>
    <w:rsid w:val="009C0681"/>
    <w:rsid w:val="009C1ADB"/>
    <w:rsid w:val="009C7345"/>
    <w:rsid w:val="009E410B"/>
    <w:rsid w:val="009E54C6"/>
    <w:rsid w:val="009E7EB1"/>
    <w:rsid w:val="00A014A8"/>
    <w:rsid w:val="00A024D7"/>
    <w:rsid w:val="00A06C99"/>
    <w:rsid w:val="00A10395"/>
    <w:rsid w:val="00A12F1A"/>
    <w:rsid w:val="00A14B9F"/>
    <w:rsid w:val="00A17010"/>
    <w:rsid w:val="00A2243F"/>
    <w:rsid w:val="00A232A7"/>
    <w:rsid w:val="00A2615F"/>
    <w:rsid w:val="00A33DE7"/>
    <w:rsid w:val="00A35E7A"/>
    <w:rsid w:val="00A37C63"/>
    <w:rsid w:val="00A40191"/>
    <w:rsid w:val="00A437A8"/>
    <w:rsid w:val="00A456F2"/>
    <w:rsid w:val="00A650C1"/>
    <w:rsid w:val="00A7131D"/>
    <w:rsid w:val="00A73685"/>
    <w:rsid w:val="00A73A3D"/>
    <w:rsid w:val="00A74333"/>
    <w:rsid w:val="00A80767"/>
    <w:rsid w:val="00A834B3"/>
    <w:rsid w:val="00A83F25"/>
    <w:rsid w:val="00A9118C"/>
    <w:rsid w:val="00A937E4"/>
    <w:rsid w:val="00A93FB5"/>
    <w:rsid w:val="00A947CC"/>
    <w:rsid w:val="00A955DC"/>
    <w:rsid w:val="00AA2EEE"/>
    <w:rsid w:val="00AA65D6"/>
    <w:rsid w:val="00AC4D19"/>
    <w:rsid w:val="00AD37E5"/>
    <w:rsid w:val="00AE092F"/>
    <w:rsid w:val="00AE719D"/>
    <w:rsid w:val="00AF2C6B"/>
    <w:rsid w:val="00AF3A4A"/>
    <w:rsid w:val="00B035C2"/>
    <w:rsid w:val="00B04CE5"/>
    <w:rsid w:val="00B07B7A"/>
    <w:rsid w:val="00B15FA7"/>
    <w:rsid w:val="00B20339"/>
    <w:rsid w:val="00B239A9"/>
    <w:rsid w:val="00B31A3C"/>
    <w:rsid w:val="00B50B60"/>
    <w:rsid w:val="00B55272"/>
    <w:rsid w:val="00B661E7"/>
    <w:rsid w:val="00B6678D"/>
    <w:rsid w:val="00B71775"/>
    <w:rsid w:val="00B81B3D"/>
    <w:rsid w:val="00B85E3E"/>
    <w:rsid w:val="00B86776"/>
    <w:rsid w:val="00B86911"/>
    <w:rsid w:val="00B877DF"/>
    <w:rsid w:val="00B913F2"/>
    <w:rsid w:val="00B95D84"/>
    <w:rsid w:val="00BA40EA"/>
    <w:rsid w:val="00BA48F8"/>
    <w:rsid w:val="00BA4AB6"/>
    <w:rsid w:val="00BA762D"/>
    <w:rsid w:val="00BB3803"/>
    <w:rsid w:val="00BB5F22"/>
    <w:rsid w:val="00BC0E84"/>
    <w:rsid w:val="00BC1CB5"/>
    <w:rsid w:val="00BC575E"/>
    <w:rsid w:val="00BC6AE1"/>
    <w:rsid w:val="00BD04A6"/>
    <w:rsid w:val="00BD068F"/>
    <w:rsid w:val="00BD5DB1"/>
    <w:rsid w:val="00BF028C"/>
    <w:rsid w:val="00BF1041"/>
    <w:rsid w:val="00BF59ED"/>
    <w:rsid w:val="00C11662"/>
    <w:rsid w:val="00C16B19"/>
    <w:rsid w:val="00C17ABD"/>
    <w:rsid w:val="00C2508B"/>
    <w:rsid w:val="00C302DB"/>
    <w:rsid w:val="00C35213"/>
    <w:rsid w:val="00C360E2"/>
    <w:rsid w:val="00C46C58"/>
    <w:rsid w:val="00C50392"/>
    <w:rsid w:val="00C53723"/>
    <w:rsid w:val="00C53C4A"/>
    <w:rsid w:val="00C54922"/>
    <w:rsid w:val="00C56C55"/>
    <w:rsid w:val="00C65B69"/>
    <w:rsid w:val="00C65E38"/>
    <w:rsid w:val="00C668DD"/>
    <w:rsid w:val="00C80DE6"/>
    <w:rsid w:val="00C85085"/>
    <w:rsid w:val="00C907B5"/>
    <w:rsid w:val="00C94661"/>
    <w:rsid w:val="00C94F23"/>
    <w:rsid w:val="00C955D8"/>
    <w:rsid w:val="00CA65F8"/>
    <w:rsid w:val="00CB3DB7"/>
    <w:rsid w:val="00CC21B1"/>
    <w:rsid w:val="00CC2597"/>
    <w:rsid w:val="00CC2B23"/>
    <w:rsid w:val="00CC616D"/>
    <w:rsid w:val="00CD5586"/>
    <w:rsid w:val="00CE0BB0"/>
    <w:rsid w:val="00CE42F4"/>
    <w:rsid w:val="00CE768E"/>
    <w:rsid w:val="00CE7ABC"/>
    <w:rsid w:val="00CF088A"/>
    <w:rsid w:val="00CF16FE"/>
    <w:rsid w:val="00CF218C"/>
    <w:rsid w:val="00CF4B62"/>
    <w:rsid w:val="00CF5419"/>
    <w:rsid w:val="00D00405"/>
    <w:rsid w:val="00D017D9"/>
    <w:rsid w:val="00D02EAE"/>
    <w:rsid w:val="00D06884"/>
    <w:rsid w:val="00D1155E"/>
    <w:rsid w:val="00D11F0B"/>
    <w:rsid w:val="00D12E53"/>
    <w:rsid w:val="00D13893"/>
    <w:rsid w:val="00D14141"/>
    <w:rsid w:val="00D142F6"/>
    <w:rsid w:val="00D31477"/>
    <w:rsid w:val="00D33F4A"/>
    <w:rsid w:val="00D35946"/>
    <w:rsid w:val="00D37302"/>
    <w:rsid w:val="00D4310D"/>
    <w:rsid w:val="00D441BC"/>
    <w:rsid w:val="00D473DB"/>
    <w:rsid w:val="00D55E00"/>
    <w:rsid w:val="00D70B78"/>
    <w:rsid w:val="00D7307E"/>
    <w:rsid w:val="00D74B52"/>
    <w:rsid w:val="00D803CE"/>
    <w:rsid w:val="00D8476E"/>
    <w:rsid w:val="00D85D72"/>
    <w:rsid w:val="00DA3B4F"/>
    <w:rsid w:val="00DA5EC9"/>
    <w:rsid w:val="00DB4C52"/>
    <w:rsid w:val="00DB6931"/>
    <w:rsid w:val="00DC03F6"/>
    <w:rsid w:val="00DC7E7E"/>
    <w:rsid w:val="00DD0ABE"/>
    <w:rsid w:val="00DD26E1"/>
    <w:rsid w:val="00DD5421"/>
    <w:rsid w:val="00DE1136"/>
    <w:rsid w:val="00DE2D74"/>
    <w:rsid w:val="00DE5246"/>
    <w:rsid w:val="00DF2A33"/>
    <w:rsid w:val="00DF5831"/>
    <w:rsid w:val="00DF5E43"/>
    <w:rsid w:val="00DF61A7"/>
    <w:rsid w:val="00DF63BB"/>
    <w:rsid w:val="00DF6C5B"/>
    <w:rsid w:val="00DF7DCD"/>
    <w:rsid w:val="00E03B9E"/>
    <w:rsid w:val="00E07602"/>
    <w:rsid w:val="00E07881"/>
    <w:rsid w:val="00E11C96"/>
    <w:rsid w:val="00E11CF5"/>
    <w:rsid w:val="00E12892"/>
    <w:rsid w:val="00E16988"/>
    <w:rsid w:val="00E25D8E"/>
    <w:rsid w:val="00E30C53"/>
    <w:rsid w:val="00E36579"/>
    <w:rsid w:val="00E4508E"/>
    <w:rsid w:val="00E5608E"/>
    <w:rsid w:val="00E61BC1"/>
    <w:rsid w:val="00E66F4C"/>
    <w:rsid w:val="00E71E19"/>
    <w:rsid w:val="00E737E2"/>
    <w:rsid w:val="00E73E05"/>
    <w:rsid w:val="00E74433"/>
    <w:rsid w:val="00E74B31"/>
    <w:rsid w:val="00E8187D"/>
    <w:rsid w:val="00E84ED7"/>
    <w:rsid w:val="00E900C7"/>
    <w:rsid w:val="00E90C46"/>
    <w:rsid w:val="00EA3142"/>
    <w:rsid w:val="00EA4CFF"/>
    <w:rsid w:val="00EB1FC4"/>
    <w:rsid w:val="00EC2DFC"/>
    <w:rsid w:val="00EC71A3"/>
    <w:rsid w:val="00ED06B9"/>
    <w:rsid w:val="00ED1F1C"/>
    <w:rsid w:val="00ED6E3C"/>
    <w:rsid w:val="00EE08EB"/>
    <w:rsid w:val="00EE4396"/>
    <w:rsid w:val="00EF14F0"/>
    <w:rsid w:val="00EF2BD8"/>
    <w:rsid w:val="00EF4E1E"/>
    <w:rsid w:val="00EF6C17"/>
    <w:rsid w:val="00F0090E"/>
    <w:rsid w:val="00F00E18"/>
    <w:rsid w:val="00F04BB8"/>
    <w:rsid w:val="00F17048"/>
    <w:rsid w:val="00F21BCC"/>
    <w:rsid w:val="00F25120"/>
    <w:rsid w:val="00F30072"/>
    <w:rsid w:val="00F47896"/>
    <w:rsid w:val="00F4790C"/>
    <w:rsid w:val="00F532A5"/>
    <w:rsid w:val="00F546B2"/>
    <w:rsid w:val="00F558CB"/>
    <w:rsid w:val="00F614EE"/>
    <w:rsid w:val="00F646E5"/>
    <w:rsid w:val="00F64BC7"/>
    <w:rsid w:val="00F708E5"/>
    <w:rsid w:val="00F74D41"/>
    <w:rsid w:val="00F81080"/>
    <w:rsid w:val="00F8314A"/>
    <w:rsid w:val="00F97D60"/>
    <w:rsid w:val="00FA227D"/>
    <w:rsid w:val="00FA5311"/>
    <w:rsid w:val="00FA5F48"/>
    <w:rsid w:val="00FB1A5F"/>
    <w:rsid w:val="00FB1F32"/>
    <w:rsid w:val="00FB2F62"/>
    <w:rsid w:val="00FB50BE"/>
    <w:rsid w:val="00FB79A7"/>
    <w:rsid w:val="00FC3FD6"/>
    <w:rsid w:val="00FC4907"/>
    <w:rsid w:val="00FD07D0"/>
    <w:rsid w:val="00FD4FC1"/>
    <w:rsid w:val="00FD5ADF"/>
    <w:rsid w:val="00FE09EA"/>
    <w:rsid w:val="00FE3668"/>
    <w:rsid w:val="00FF1156"/>
    <w:rsid w:val="00FF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7F6"/>
  </w:style>
  <w:style w:type="paragraph" w:styleId="Footer">
    <w:name w:val="footer"/>
    <w:basedOn w:val="Normal"/>
    <w:link w:val="FooterChar"/>
    <w:uiPriority w:val="99"/>
    <w:unhideWhenUsed/>
    <w:rsid w:val="002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F6"/>
  </w:style>
  <w:style w:type="paragraph" w:styleId="ListParagraph">
    <w:name w:val="List Paragraph"/>
    <w:basedOn w:val="Normal"/>
    <w:uiPriority w:val="34"/>
    <w:qFormat/>
    <w:rsid w:val="00152AF9"/>
    <w:pPr>
      <w:ind w:left="720"/>
      <w:contextualSpacing/>
    </w:pPr>
  </w:style>
  <w:style w:type="table" w:styleId="TableGrid">
    <w:name w:val="Table Grid"/>
    <w:basedOn w:val="TableNormal"/>
    <w:uiPriority w:val="59"/>
    <w:rsid w:val="00B95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31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7F6"/>
  </w:style>
  <w:style w:type="paragraph" w:styleId="Footer">
    <w:name w:val="footer"/>
    <w:basedOn w:val="Normal"/>
    <w:link w:val="FooterChar"/>
    <w:uiPriority w:val="99"/>
    <w:unhideWhenUsed/>
    <w:rsid w:val="002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F6"/>
  </w:style>
  <w:style w:type="paragraph" w:styleId="ListParagraph">
    <w:name w:val="List Paragraph"/>
    <w:basedOn w:val="Normal"/>
    <w:uiPriority w:val="34"/>
    <w:qFormat/>
    <w:rsid w:val="00152AF9"/>
    <w:pPr>
      <w:ind w:left="720"/>
      <w:contextualSpacing/>
    </w:pPr>
  </w:style>
  <w:style w:type="table" w:styleId="TableGrid">
    <w:name w:val="Table Grid"/>
    <w:basedOn w:val="TableNormal"/>
    <w:uiPriority w:val="59"/>
    <w:rsid w:val="00B95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31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315632-medication" TargetMode="External"/><Relationship Id="rId13" Type="http://schemas.openxmlformats.org/officeDocument/2006/relationships/hyperlink" Target="http://dx.doi.org/10.4103%2F0972-2327.8308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eacehealth.org/Documents/kiley-guillain-barr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bs-cidp.org/wp-content/uploads/2012/01/PTOTGuidelin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medicine.medscape.com/article/1171558-clinical" TargetMode="External"/><Relationship Id="rId4" Type="http://schemas.openxmlformats.org/officeDocument/2006/relationships/settings" Target="settings.xml"/><Relationship Id="rId9" Type="http://schemas.openxmlformats.org/officeDocument/2006/relationships/hyperlink" Target="http://www.cdc.gov/cancer/colorectal/basic_info/screening/guidelines.htm" TargetMode="External"/><Relationship Id="rId14" Type="http://schemas.openxmlformats.org/officeDocument/2006/relationships/hyperlink" Target="http://www.biomedcentral.com/content/pdf/1471-2377-13-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Lindsey</cp:lastModifiedBy>
  <cp:revision>2</cp:revision>
  <dcterms:created xsi:type="dcterms:W3CDTF">2013-12-06T15:15:00Z</dcterms:created>
  <dcterms:modified xsi:type="dcterms:W3CDTF">2013-12-06T15:15:00Z</dcterms:modified>
</cp:coreProperties>
</file>